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21B67" w14:textId="77777777" w:rsidR="00E00D0B" w:rsidRDefault="00E00D0B" w:rsidP="00D8299C">
      <w:pPr>
        <w:tabs>
          <w:tab w:val="left" w:pos="7260"/>
        </w:tabs>
        <w:jc w:val="center"/>
        <w:rPr>
          <w:noProof/>
        </w:rPr>
      </w:pPr>
      <w:bookmarkStart w:id="0" w:name="_GoBack"/>
      <w:bookmarkEnd w:id="0"/>
    </w:p>
    <w:p w14:paraId="0DE74231" w14:textId="7BE31B27" w:rsidR="00DE416A" w:rsidRDefault="00E00D0B" w:rsidP="00E00D0B">
      <w:pPr>
        <w:jc w:val="center"/>
        <w:rPr>
          <w:rFonts w:ascii="Times New Roman" w:hAnsi="Times New Roman" w:cs="Times New Roman"/>
          <w:b/>
          <w:color w:val="4472C4" w:themeColor="accent1"/>
          <w:sz w:val="32"/>
          <w:szCs w:val="24"/>
          <w:lang w:val="fr-FR"/>
        </w:rPr>
      </w:pPr>
      <w:r w:rsidRPr="00E00D0B">
        <w:rPr>
          <w:rFonts w:ascii="Times New Roman" w:hAnsi="Times New Roman" w:cs="Times New Roman"/>
          <w:b/>
          <w:color w:val="4472C4" w:themeColor="accent1"/>
          <w:sz w:val="32"/>
          <w:szCs w:val="24"/>
          <w:lang w:val="fr-FR"/>
        </w:rPr>
        <w:t xml:space="preserve">FLASH INFO </w:t>
      </w:r>
      <w:r w:rsidR="00874541">
        <w:rPr>
          <w:rFonts w:ascii="Times New Roman" w:hAnsi="Times New Roman" w:cs="Times New Roman"/>
          <w:b/>
          <w:color w:val="4472C4" w:themeColor="accent1"/>
          <w:sz w:val="32"/>
          <w:szCs w:val="24"/>
          <w:lang w:val="fr-FR"/>
        </w:rPr>
        <w:t xml:space="preserve">NUMERO 4 </w:t>
      </w:r>
    </w:p>
    <w:p w14:paraId="5295A0B3" w14:textId="77777777" w:rsidR="00DE416A" w:rsidRDefault="00DE416A" w:rsidP="00E00D0B">
      <w:pPr>
        <w:jc w:val="center"/>
        <w:rPr>
          <w:rFonts w:ascii="Times New Roman" w:hAnsi="Times New Roman" w:cs="Times New Roman"/>
          <w:b/>
          <w:color w:val="4472C4" w:themeColor="accent1"/>
          <w:sz w:val="32"/>
          <w:szCs w:val="24"/>
          <w:lang w:val="fr-FR"/>
        </w:rPr>
      </w:pPr>
    </w:p>
    <w:p w14:paraId="43C51D2A" w14:textId="5142E4D8" w:rsidR="00E00D0B" w:rsidRDefault="00E00D0B" w:rsidP="00E00D0B">
      <w:pPr>
        <w:jc w:val="center"/>
        <w:rPr>
          <w:rFonts w:ascii="Times New Roman" w:hAnsi="Times New Roman" w:cs="Times New Roman"/>
          <w:b/>
          <w:color w:val="4472C4" w:themeColor="accent1"/>
          <w:sz w:val="32"/>
          <w:szCs w:val="24"/>
          <w:lang w:val="fr-FR"/>
        </w:rPr>
      </w:pPr>
      <w:r w:rsidRPr="00E00D0B">
        <w:rPr>
          <w:rFonts w:ascii="Times New Roman" w:hAnsi="Times New Roman" w:cs="Times New Roman"/>
          <w:b/>
          <w:color w:val="4472C4" w:themeColor="accent1"/>
          <w:sz w:val="32"/>
          <w:szCs w:val="24"/>
          <w:lang w:val="fr-FR"/>
        </w:rPr>
        <w:t>DE L’APRES INCI</w:t>
      </w:r>
      <w:r>
        <w:rPr>
          <w:rFonts w:ascii="Times New Roman" w:hAnsi="Times New Roman" w:cs="Times New Roman"/>
          <w:b/>
          <w:color w:val="4472C4" w:themeColor="accent1"/>
          <w:sz w:val="32"/>
          <w:szCs w:val="24"/>
          <w:lang w:val="fr-FR"/>
        </w:rPr>
        <w:t>DENT DE INTIKANE</w:t>
      </w:r>
    </w:p>
    <w:p w14:paraId="0E5208F0" w14:textId="77777777" w:rsidR="00DE416A" w:rsidRPr="00E00D0B" w:rsidRDefault="00DE416A" w:rsidP="00E00D0B">
      <w:pPr>
        <w:jc w:val="center"/>
        <w:rPr>
          <w:rFonts w:ascii="Times New Roman" w:hAnsi="Times New Roman" w:cs="Times New Roman"/>
          <w:b/>
          <w:color w:val="4472C4" w:themeColor="accent1"/>
          <w:sz w:val="32"/>
          <w:szCs w:val="24"/>
          <w:lang w:val="fr-FR"/>
        </w:rPr>
      </w:pPr>
    </w:p>
    <w:p w14:paraId="4820B4CC" w14:textId="77777777" w:rsidR="00E00D0B" w:rsidRPr="00E00D0B" w:rsidRDefault="00E00D0B" w:rsidP="00E00D0B">
      <w:pPr>
        <w:tabs>
          <w:tab w:val="left" w:pos="7260"/>
        </w:tabs>
        <w:rPr>
          <w:noProof/>
          <w:lang w:val="fr-FR"/>
        </w:rPr>
      </w:pPr>
    </w:p>
    <w:p w14:paraId="67AFAE14" w14:textId="61A72994" w:rsidR="0013196E" w:rsidRDefault="00DE416A" w:rsidP="00D8299C">
      <w:pPr>
        <w:tabs>
          <w:tab w:val="left" w:pos="7260"/>
        </w:tabs>
        <w:jc w:val="center"/>
        <w:rPr>
          <w:rFonts w:ascii="Times New Roman" w:hAnsi="Times New Roman" w:cs="Times New Roman"/>
          <w:sz w:val="28"/>
          <w:szCs w:val="42"/>
          <w:lang w:val="fr-FR"/>
        </w:rPr>
      </w:pPr>
      <w:r>
        <w:rPr>
          <w:noProof/>
        </w:rPr>
        <w:drawing>
          <wp:inline distT="0" distB="0" distL="0" distR="0" wp14:anchorId="148DE373" wp14:editId="4A1B6DB6">
            <wp:extent cx="5731510" cy="4298950"/>
            <wp:effectExtent l="0" t="0" r="254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3B454" w14:textId="455232A8" w:rsidR="0013196E" w:rsidRDefault="00DE416A" w:rsidP="00D8299C">
      <w:pPr>
        <w:tabs>
          <w:tab w:val="left" w:pos="7260"/>
        </w:tabs>
        <w:jc w:val="center"/>
        <w:rPr>
          <w:rFonts w:asciiTheme="minorHAnsi" w:hAnsiTheme="minorHAnsi" w:cstheme="minorHAnsi"/>
          <w:i/>
          <w:iCs/>
          <w:color w:val="4472C4" w:themeColor="accent1"/>
          <w:lang w:val="fr-FR"/>
        </w:rPr>
      </w:pPr>
      <w:r>
        <w:rPr>
          <w:rFonts w:asciiTheme="minorHAnsi" w:hAnsiTheme="minorHAnsi" w:cstheme="minorHAnsi"/>
          <w:i/>
          <w:iCs/>
          <w:color w:val="4472C4" w:themeColor="accent1"/>
          <w:lang w:val="fr-FR"/>
        </w:rPr>
        <w:t>L’installation au site temporaire d’un ménage, après avoir quitté la famille d’accueil -</w:t>
      </w:r>
      <w:r w:rsidR="0013196E">
        <w:rPr>
          <w:rFonts w:asciiTheme="minorHAnsi" w:hAnsiTheme="minorHAnsi" w:cstheme="minorHAnsi"/>
          <w:i/>
          <w:iCs/>
          <w:color w:val="4472C4" w:themeColor="accent1"/>
          <w:lang w:val="fr-FR"/>
        </w:rPr>
        <w:t xml:space="preserve"> </w:t>
      </w:r>
      <w:proofErr w:type="spellStart"/>
      <w:r w:rsidR="0013196E">
        <w:rPr>
          <w:rFonts w:asciiTheme="minorHAnsi" w:hAnsiTheme="minorHAnsi" w:cstheme="minorHAnsi"/>
          <w:i/>
          <w:iCs/>
          <w:color w:val="4472C4" w:themeColor="accent1"/>
          <w:lang w:val="fr-FR"/>
        </w:rPr>
        <w:t>Telemces</w:t>
      </w:r>
      <w:proofErr w:type="spellEnd"/>
    </w:p>
    <w:p w14:paraId="428FE368" w14:textId="77777777" w:rsidR="0013196E" w:rsidRDefault="0013196E" w:rsidP="00D8299C">
      <w:pPr>
        <w:tabs>
          <w:tab w:val="left" w:pos="7260"/>
        </w:tabs>
        <w:jc w:val="center"/>
        <w:rPr>
          <w:rFonts w:asciiTheme="minorHAnsi" w:hAnsiTheme="minorHAnsi" w:cstheme="minorHAnsi"/>
          <w:i/>
          <w:iCs/>
          <w:color w:val="4472C4" w:themeColor="accent1"/>
          <w:lang w:val="fr-FR"/>
        </w:rPr>
      </w:pPr>
    </w:p>
    <w:p w14:paraId="0A01CDE8" w14:textId="77777777" w:rsidR="00DE416A" w:rsidRDefault="00DE416A" w:rsidP="00D8299C">
      <w:pPr>
        <w:tabs>
          <w:tab w:val="left" w:pos="7260"/>
        </w:tabs>
        <w:jc w:val="both"/>
        <w:rPr>
          <w:rFonts w:asciiTheme="minorHAnsi" w:hAnsiTheme="minorHAnsi" w:cstheme="minorHAnsi"/>
          <w:b/>
          <w:bCs/>
          <w:color w:val="4472C4" w:themeColor="accent1"/>
          <w:lang w:val="fr-FR"/>
        </w:rPr>
      </w:pPr>
    </w:p>
    <w:p w14:paraId="2C41F837" w14:textId="77777777" w:rsidR="00DE416A" w:rsidRDefault="00DE416A" w:rsidP="00D8299C">
      <w:pPr>
        <w:tabs>
          <w:tab w:val="left" w:pos="7260"/>
        </w:tabs>
        <w:jc w:val="both"/>
        <w:rPr>
          <w:rFonts w:asciiTheme="minorHAnsi" w:hAnsiTheme="minorHAnsi" w:cstheme="minorHAnsi"/>
          <w:b/>
          <w:bCs/>
          <w:color w:val="4472C4" w:themeColor="accent1"/>
          <w:lang w:val="fr-FR"/>
        </w:rPr>
      </w:pPr>
    </w:p>
    <w:p w14:paraId="40D3BA89" w14:textId="024500F2" w:rsidR="00D8299C" w:rsidRPr="00702D0A" w:rsidRDefault="0013196E" w:rsidP="00D8299C">
      <w:pPr>
        <w:tabs>
          <w:tab w:val="left" w:pos="7260"/>
        </w:tabs>
        <w:jc w:val="both"/>
        <w:rPr>
          <w:rFonts w:asciiTheme="minorHAnsi" w:hAnsiTheme="minorHAnsi" w:cstheme="minorHAnsi"/>
          <w:b/>
          <w:bCs/>
          <w:color w:val="4472C4" w:themeColor="accent1"/>
          <w:lang w:val="fr-FR"/>
        </w:rPr>
      </w:pPr>
      <w:r>
        <w:rPr>
          <w:rFonts w:asciiTheme="minorHAnsi" w:hAnsiTheme="minorHAnsi" w:cstheme="minorHAnsi"/>
          <w:b/>
          <w:bCs/>
          <w:color w:val="4472C4" w:themeColor="accent1"/>
          <w:lang w:val="fr-FR"/>
        </w:rPr>
        <w:t>Mouvement de population</w:t>
      </w:r>
      <w:r w:rsidR="00D8299C" w:rsidRPr="00702D0A">
        <w:rPr>
          <w:rFonts w:asciiTheme="minorHAnsi" w:hAnsiTheme="minorHAnsi" w:cstheme="minorHAnsi"/>
          <w:b/>
          <w:bCs/>
          <w:color w:val="4472C4" w:themeColor="accent1"/>
          <w:lang w:val="fr-FR"/>
        </w:rPr>
        <w:t xml:space="preserve"> à </w:t>
      </w:r>
      <w:proofErr w:type="spellStart"/>
      <w:r w:rsidR="00D8299C" w:rsidRPr="00702D0A">
        <w:rPr>
          <w:rFonts w:asciiTheme="minorHAnsi" w:hAnsiTheme="minorHAnsi" w:cstheme="minorHAnsi"/>
          <w:b/>
          <w:bCs/>
          <w:color w:val="4472C4" w:themeColor="accent1"/>
          <w:lang w:val="fr-FR"/>
        </w:rPr>
        <w:t>Télemces</w:t>
      </w:r>
      <w:proofErr w:type="spellEnd"/>
      <w:r>
        <w:rPr>
          <w:rFonts w:asciiTheme="minorHAnsi" w:hAnsiTheme="minorHAnsi" w:cstheme="minorHAnsi"/>
          <w:b/>
          <w:bCs/>
          <w:color w:val="4472C4" w:themeColor="accent1"/>
          <w:lang w:val="fr-FR"/>
        </w:rPr>
        <w:t xml:space="preserve"> et ailleurs</w:t>
      </w:r>
    </w:p>
    <w:p w14:paraId="15A7F93B" w14:textId="77777777" w:rsidR="00D8299C" w:rsidRPr="00702D0A" w:rsidRDefault="00D8299C" w:rsidP="00D8299C">
      <w:pPr>
        <w:tabs>
          <w:tab w:val="left" w:pos="7260"/>
        </w:tabs>
        <w:jc w:val="both"/>
        <w:rPr>
          <w:rFonts w:asciiTheme="minorHAnsi" w:hAnsiTheme="minorHAnsi" w:cstheme="minorHAnsi"/>
          <w:b/>
          <w:bCs/>
          <w:color w:val="4472C4" w:themeColor="accent1"/>
          <w:lang w:val="fr-FR"/>
        </w:rPr>
      </w:pPr>
    </w:p>
    <w:p w14:paraId="20CE4E9D" w14:textId="39428F1A" w:rsidR="006D43ED" w:rsidRDefault="006D43ED" w:rsidP="006D43ED">
      <w:pPr>
        <w:tabs>
          <w:tab w:val="left" w:pos="7260"/>
        </w:tabs>
        <w:jc w:val="both"/>
        <w:rPr>
          <w:rFonts w:asciiTheme="minorHAnsi" w:hAnsiTheme="minorHAnsi" w:cstheme="minorHAnsi"/>
          <w:bCs/>
          <w:lang w:val="fr-FR"/>
        </w:rPr>
      </w:pPr>
      <w:r>
        <w:rPr>
          <w:rFonts w:asciiTheme="minorHAnsi" w:hAnsiTheme="minorHAnsi" w:cstheme="minorHAnsi"/>
          <w:bCs/>
          <w:lang w:val="fr-FR"/>
        </w:rPr>
        <w:t xml:space="preserve">Depuis l’attaque de la ZAR, 1567 ménages de 10080 individus ont quitté la ZAR pour s’installer à </w:t>
      </w:r>
      <w:proofErr w:type="spellStart"/>
      <w:r>
        <w:rPr>
          <w:rFonts w:asciiTheme="minorHAnsi" w:hAnsiTheme="minorHAnsi" w:cstheme="minorHAnsi"/>
          <w:bCs/>
          <w:lang w:val="fr-FR"/>
        </w:rPr>
        <w:t>Telemces</w:t>
      </w:r>
      <w:proofErr w:type="spellEnd"/>
      <w:r>
        <w:rPr>
          <w:rFonts w:asciiTheme="minorHAnsi" w:hAnsiTheme="minorHAnsi" w:cstheme="minorHAnsi"/>
          <w:bCs/>
          <w:lang w:val="fr-FR"/>
        </w:rPr>
        <w:t xml:space="preserve"> ou ailleurs. Autrement dit, la ZAR </w:t>
      </w:r>
      <w:proofErr w:type="spellStart"/>
      <w:r>
        <w:rPr>
          <w:rFonts w:asciiTheme="minorHAnsi" w:hAnsiTheme="minorHAnsi" w:cstheme="minorHAnsi"/>
          <w:bCs/>
          <w:lang w:val="fr-FR"/>
        </w:rPr>
        <w:t>Intikane</w:t>
      </w:r>
      <w:proofErr w:type="spellEnd"/>
      <w:r>
        <w:rPr>
          <w:rFonts w:asciiTheme="minorHAnsi" w:hAnsiTheme="minorHAnsi" w:cstheme="minorHAnsi"/>
          <w:bCs/>
          <w:lang w:val="fr-FR"/>
        </w:rPr>
        <w:t xml:space="preserve"> </w:t>
      </w:r>
      <w:r w:rsidR="001E3FCC">
        <w:rPr>
          <w:rFonts w:asciiTheme="minorHAnsi" w:hAnsiTheme="minorHAnsi" w:cstheme="minorHAnsi"/>
          <w:bCs/>
          <w:lang w:val="fr-FR"/>
        </w:rPr>
        <w:t>en 10 jours a vu sa population totale de communauté refugiée et PDI réduite d’environ de 30%. Néanmoins, la situation semble se stabiliser sur le terrain. Aucun mouvement n’est enregistré depuis le 07 juin.</w:t>
      </w:r>
    </w:p>
    <w:p w14:paraId="52CCD3AD" w14:textId="77777777" w:rsidR="006D43ED" w:rsidRDefault="006D43ED" w:rsidP="006D43ED">
      <w:pPr>
        <w:tabs>
          <w:tab w:val="left" w:pos="7260"/>
        </w:tabs>
        <w:jc w:val="both"/>
        <w:rPr>
          <w:rFonts w:asciiTheme="minorHAnsi" w:hAnsiTheme="minorHAnsi" w:cstheme="minorHAnsi"/>
          <w:bCs/>
          <w:lang w:val="fr-FR"/>
        </w:rPr>
      </w:pPr>
    </w:p>
    <w:p w14:paraId="38048FE3" w14:textId="49789D9B" w:rsidR="006D43ED" w:rsidRDefault="006D43ED" w:rsidP="006D43ED">
      <w:pPr>
        <w:tabs>
          <w:tab w:val="left" w:pos="7260"/>
        </w:tabs>
        <w:jc w:val="both"/>
        <w:rPr>
          <w:rFonts w:asciiTheme="minorHAnsi" w:hAnsiTheme="minorHAnsi" w:cstheme="minorHAnsi"/>
          <w:bCs/>
          <w:lang w:val="fr-FR"/>
        </w:rPr>
      </w:pPr>
      <w:r>
        <w:rPr>
          <w:rFonts w:asciiTheme="minorHAnsi" w:hAnsiTheme="minorHAnsi" w:cstheme="minorHAnsi"/>
          <w:bCs/>
          <w:lang w:val="fr-FR"/>
        </w:rPr>
        <w:t xml:space="preserve">Au niveau du site temporaire de </w:t>
      </w:r>
      <w:proofErr w:type="spellStart"/>
      <w:r>
        <w:rPr>
          <w:rFonts w:asciiTheme="minorHAnsi" w:hAnsiTheme="minorHAnsi" w:cstheme="minorHAnsi"/>
          <w:bCs/>
          <w:lang w:val="fr-FR"/>
        </w:rPr>
        <w:t>Telemces</w:t>
      </w:r>
      <w:proofErr w:type="spellEnd"/>
      <w:r>
        <w:rPr>
          <w:rFonts w:asciiTheme="minorHAnsi" w:hAnsiTheme="minorHAnsi" w:cstheme="minorHAnsi"/>
          <w:bCs/>
          <w:lang w:val="fr-FR"/>
        </w:rPr>
        <w:t>, 1180 ménages de 8167 individus s’y sont installés.</w:t>
      </w:r>
    </w:p>
    <w:p w14:paraId="1B0CBECF" w14:textId="1327A7DC" w:rsidR="00BF3F47" w:rsidRDefault="00BF3F47" w:rsidP="00D8299C">
      <w:pPr>
        <w:tabs>
          <w:tab w:val="left" w:pos="7260"/>
        </w:tabs>
        <w:jc w:val="both"/>
        <w:rPr>
          <w:rFonts w:asciiTheme="minorHAnsi" w:hAnsiTheme="minorHAnsi" w:cstheme="minorHAnsi"/>
          <w:bCs/>
          <w:lang w:val="fr-FR"/>
        </w:rPr>
      </w:pPr>
    </w:p>
    <w:p w14:paraId="5F40BD47" w14:textId="06CB2820" w:rsidR="00BF3F47" w:rsidRDefault="00BF3F47" w:rsidP="00D8299C">
      <w:pPr>
        <w:tabs>
          <w:tab w:val="left" w:pos="7260"/>
        </w:tabs>
        <w:jc w:val="both"/>
        <w:rPr>
          <w:rFonts w:asciiTheme="minorHAnsi" w:hAnsiTheme="minorHAnsi" w:cstheme="minorHAnsi"/>
          <w:bCs/>
          <w:lang w:val="fr-FR"/>
        </w:rPr>
      </w:pPr>
    </w:p>
    <w:p w14:paraId="3ACF1556" w14:textId="28ADC81F" w:rsidR="003C1DF9" w:rsidRDefault="00DE416A" w:rsidP="00D8299C">
      <w:pPr>
        <w:tabs>
          <w:tab w:val="left" w:pos="7260"/>
        </w:tabs>
        <w:jc w:val="both"/>
        <w:rPr>
          <w:rFonts w:asciiTheme="minorHAnsi" w:hAnsiTheme="minorHAnsi" w:cstheme="minorHAnsi"/>
          <w:bCs/>
          <w:lang w:val="fr-FR"/>
        </w:rPr>
      </w:pPr>
      <w:r>
        <w:rPr>
          <w:noProof/>
        </w:rPr>
        <w:lastRenderedPageBreak/>
        <w:drawing>
          <wp:inline distT="0" distB="0" distL="0" distR="0" wp14:anchorId="2DE3132C" wp14:editId="6B848446">
            <wp:extent cx="5689600" cy="3454400"/>
            <wp:effectExtent l="0" t="0" r="6350" b="1270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1F4E98D-A92D-4838-A0F8-764762C3FA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770A856" w14:textId="77777777" w:rsidR="00BF3F47" w:rsidRDefault="00BF3F47" w:rsidP="00D8299C">
      <w:pPr>
        <w:tabs>
          <w:tab w:val="left" w:pos="7260"/>
        </w:tabs>
        <w:jc w:val="both"/>
        <w:rPr>
          <w:rFonts w:asciiTheme="minorHAnsi" w:hAnsiTheme="minorHAnsi" w:cstheme="minorHAnsi"/>
          <w:bCs/>
          <w:lang w:val="fr-FR"/>
        </w:rPr>
      </w:pPr>
    </w:p>
    <w:p w14:paraId="6D8F96D9" w14:textId="37AC90AC" w:rsidR="00A5225B" w:rsidRDefault="006D43ED" w:rsidP="00A5225B">
      <w:pPr>
        <w:tabs>
          <w:tab w:val="left" w:pos="7260"/>
        </w:tabs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En dehors de </w:t>
      </w:r>
      <w:proofErr w:type="spellStart"/>
      <w:r>
        <w:rPr>
          <w:rFonts w:asciiTheme="minorHAnsi" w:hAnsiTheme="minorHAnsi" w:cstheme="minorHAnsi"/>
          <w:lang w:val="fr-FR"/>
        </w:rPr>
        <w:t>Telemces</w:t>
      </w:r>
      <w:proofErr w:type="spellEnd"/>
      <w:r>
        <w:rPr>
          <w:rFonts w:asciiTheme="minorHAnsi" w:hAnsiTheme="minorHAnsi" w:cstheme="minorHAnsi"/>
          <w:lang w:val="fr-FR"/>
        </w:rPr>
        <w:t>, l</w:t>
      </w:r>
      <w:r w:rsidR="00A5225B" w:rsidRPr="00A5225B">
        <w:rPr>
          <w:rFonts w:asciiTheme="minorHAnsi" w:hAnsiTheme="minorHAnsi" w:cstheme="minorHAnsi"/>
          <w:lang w:val="fr-FR"/>
        </w:rPr>
        <w:t>e monitoring fait par n</w:t>
      </w:r>
      <w:r w:rsidR="00A5225B">
        <w:rPr>
          <w:rFonts w:asciiTheme="minorHAnsi" w:hAnsiTheme="minorHAnsi" w:cstheme="minorHAnsi"/>
          <w:lang w:val="fr-FR"/>
        </w:rPr>
        <w:t>otre partenaire CIAUD dans le département de Tillia fait état de mouvement de population</w:t>
      </w:r>
      <w:r w:rsidR="003B0950">
        <w:rPr>
          <w:rFonts w:asciiTheme="minorHAnsi" w:hAnsiTheme="minorHAnsi" w:cstheme="minorHAnsi"/>
          <w:lang w:val="fr-FR"/>
        </w:rPr>
        <w:t xml:space="preserve"> de </w:t>
      </w:r>
      <w:r>
        <w:rPr>
          <w:rFonts w:asciiTheme="minorHAnsi" w:hAnsiTheme="minorHAnsi" w:cstheme="minorHAnsi"/>
          <w:lang w:val="fr-FR"/>
        </w:rPr>
        <w:t>387</w:t>
      </w:r>
      <w:r w:rsidR="003B0950">
        <w:rPr>
          <w:rFonts w:asciiTheme="minorHAnsi" w:hAnsiTheme="minorHAnsi" w:cstheme="minorHAnsi"/>
          <w:lang w:val="fr-FR"/>
        </w:rPr>
        <w:t xml:space="preserve"> ménages de </w:t>
      </w:r>
      <w:r>
        <w:rPr>
          <w:rFonts w:asciiTheme="minorHAnsi" w:hAnsiTheme="minorHAnsi" w:cstheme="minorHAnsi"/>
          <w:lang w:val="fr-FR"/>
        </w:rPr>
        <w:t>1913</w:t>
      </w:r>
      <w:r w:rsidR="003B0950">
        <w:rPr>
          <w:rFonts w:asciiTheme="minorHAnsi" w:hAnsiTheme="minorHAnsi" w:cstheme="minorHAnsi"/>
          <w:lang w:val="fr-FR"/>
        </w:rPr>
        <w:t xml:space="preserve"> individus dont le détail est </w:t>
      </w:r>
      <w:r w:rsidR="00A5225B">
        <w:rPr>
          <w:rFonts w:asciiTheme="minorHAnsi" w:hAnsiTheme="minorHAnsi" w:cstheme="minorHAnsi"/>
          <w:lang w:val="fr-FR"/>
        </w:rPr>
        <w:t>présenté dans le tableau suivant.</w:t>
      </w:r>
    </w:p>
    <w:p w14:paraId="2201A26B" w14:textId="33C0ACFA" w:rsidR="00BF3F47" w:rsidRDefault="00BF3F47" w:rsidP="00A5225B">
      <w:pPr>
        <w:tabs>
          <w:tab w:val="left" w:pos="7260"/>
        </w:tabs>
        <w:jc w:val="both"/>
        <w:rPr>
          <w:rFonts w:asciiTheme="minorHAnsi" w:hAnsiTheme="minorHAnsi" w:cstheme="minorHAnsi"/>
          <w:lang w:val="fr-FR"/>
        </w:rPr>
      </w:pPr>
    </w:p>
    <w:tbl>
      <w:tblPr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1170"/>
        <w:gridCol w:w="1260"/>
        <w:gridCol w:w="1350"/>
        <w:gridCol w:w="630"/>
        <w:gridCol w:w="720"/>
        <w:gridCol w:w="720"/>
        <w:gridCol w:w="540"/>
        <w:gridCol w:w="630"/>
        <w:gridCol w:w="630"/>
      </w:tblGrid>
      <w:tr w:rsidR="00BF3F47" w14:paraId="32C52034" w14:textId="77777777" w:rsidTr="006D43ED">
        <w:trPr>
          <w:trHeight w:val="1113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26200D21" w14:textId="77777777" w:rsidR="00BF3F47" w:rsidRDefault="00BF3F47">
            <w:pP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Sites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d’accueil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36A474F2" w14:textId="77777777" w:rsidR="00BF3F47" w:rsidRPr="00BF3F47" w:rsidRDefault="00BF3F47">
            <w:pP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BF3F47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 xml:space="preserve">Distance approximative en kilomètres par rapport à </w:t>
            </w:r>
            <w:proofErr w:type="spellStart"/>
            <w:r w:rsidRPr="00BF3F47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Intikane</w:t>
            </w:r>
            <w:proofErr w:type="spellEnd"/>
            <w:r w:rsidRPr="00BF3F47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E27261A" w14:textId="77777777" w:rsidR="00BF3F47" w:rsidRDefault="00BF3F4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Commune </w:t>
            </w:r>
          </w:p>
          <w:p w14:paraId="1EEDAA82" w14:textId="77777777" w:rsidR="00BF3F47" w:rsidRDefault="00BF3F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1EB308C2" w14:textId="77777777" w:rsidR="00BF3F47" w:rsidRDefault="00BF3F4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Département</w:t>
            </w:r>
            <w:proofErr w:type="spellEnd"/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5563B18C" w14:textId="77777777" w:rsidR="00BF3F47" w:rsidRDefault="00BF3F4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Nombre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de ménages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6C9F351A" w14:textId="77777777" w:rsidR="00BF3F47" w:rsidRDefault="00BF3F4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Nombre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personnes</w:t>
            </w:r>
            <w:proofErr w:type="spellEnd"/>
          </w:p>
        </w:tc>
      </w:tr>
      <w:tr w:rsidR="006D43ED" w14:paraId="1D9DE311" w14:textId="77777777" w:rsidTr="006D43ED">
        <w:trPr>
          <w:trHeight w:val="371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4B2C" w14:textId="77777777" w:rsidR="00BF3F47" w:rsidRDefault="00BF3F47">
            <w:pPr>
              <w:spacing w:line="276" w:lineRule="auto"/>
              <w:rPr>
                <w:rFonts w:ascii="Arial Narrow" w:eastAsia="SimSun" w:hAnsi="Arial Narrow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C07C" w14:textId="77777777" w:rsidR="00BF3F47" w:rsidRDefault="00BF3F47">
            <w:pPr>
              <w:spacing w:line="276" w:lineRule="auto"/>
              <w:rPr>
                <w:rFonts w:ascii="Arial Narrow" w:eastAsia="SimSun" w:hAnsi="Arial Narrow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254B" w14:textId="77777777" w:rsidR="00BF3F47" w:rsidRDefault="00BF3F47">
            <w:pPr>
              <w:spacing w:line="276" w:lineRule="auto"/>
              <w:rPr>
                <w:rFonts w:ascii="Arial Narrow" w:eastAsia="SimSun" w:hAnsi="Arial Narrow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9CB0" w14:textId="77777777" w:rsidR="00BF3F47" w:rsidRDefault="00BF3F47">
            <w:pPr>
              <w:spacing w:line="276" w:lineRule="auto"/>
              <w:rPr>
                <w:rFonts w:ascii="Arial Narrow" w:eastAsia="SimSun" w:hAnsi="Arial Narrow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14:paraId="455D0219" w14:textId="77777777" w:rsidR="00BF3F47" w:rsidRDefault="00BF3F47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Réf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14:paraId="1C266415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PDI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14:paraId="07DA3BCB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14:paraId="5A349D22" w14:textId="77777777" w:rsidR="00BF3F47" w:rsidRDefault="00BF3F47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Réf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14:paraId="2F7CF8A5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PDI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14:paraId="685B9CDE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Total </w:t>
            </w:r>
          </w:p>
        </w:tc>
      </w:tr>
      <w:tr w:rsidR="00BF3F47" w14:paraId="357A7E39" w14:textId="77777777" w:rsidTr="006D43ED">
        <w:trPr>
          <w:trHeight w:val="35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C4AA" w14:textId="77777777" w:rsidR="00BF3F47" w:rsidRDefault="00BF3F47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/>
              </w:rPr>
              <w:t>Talokames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7E27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07 Km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9A8D" w14:textId="77777777" w:rsidR="00BF3F47" w:rsidRDefault="00BF3F47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Tillia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DAC8" w14:textId="77777777" w:rsidR="00BF3F47" w:rsidRDefault="00BF3F47">
            <w:pPr>
              <w:rPr>
                <w:rFonts w:ascii="Arial Narrow" w:hAnsi="Arial Narrow" w:cs="SimSun"/>
              </w:rPr>
            </w:pPr>
            <w:proofErr w:type="spellStart"/>
            <w:r>
              <w:rPr>
                <w:rFonts w:ascii="Arial Narrow" w:hAnsi="Arial Narrow" w:cs="Arial"/>
              </w:rPr>
              <w:t>Tillia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F00A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911D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EB6F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02B9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67A6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0946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339</w:t>
            </w:r>
          </w:p>
        </w:tc>
      </w:tr>
      <w:tr w:rsidR="00BF3F47" w14:paraId="58F19819" w14:textId="77777777" w:rsidTr="006D43ED">
        <w:trPr>
          <w:trHeight w:val="415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2899" w14:textId="77777777" w:rsidR="00BF3F47" w:rsidRDefault="00BF3F47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Adarzagaren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51E6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17 Km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8FA4" w14:textId="77777777" w:rsidR="00BF3F47" w:rsidRDefault="00BF3F47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Tillia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4B10" w14:textId="77777777" w:rsidR="00BF3F47" w:rsidRDefault="00BF3F47">
            <w:pPr>
              <w:rPr>
                <w:rFonts w:ascii="Arial Narrow" w:hAnsi="Arial Narrow" w:cs="SimSun"/>
              </w:rPr>
            </w:pPr>
            <w:proofErr w:type="spellStart"/>
            <w:r>
              <w:rPr>
                <w:rFonts w:ascii="Arial Narrow" w:hAnsi="Arial Narrow" w:cs="Arial"/>
              </w:rPr>
              <w:t>Tillia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7F67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5D0B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6BE7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4EE5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4FBB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76AC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257</w:t>
            </w:r>
          </w:p>
        </w:tc>
      </w:tr>
      <w:tr w:rsidR="00BF3F47" w14:paraId="18E24841" w14:textId="77777777" w:rsidTr="006D43ED">
        <w:trPr>
          <w:trHeight w:val="37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3753" w14:textId="77777777" w:rsidR="00BF3F47" w:rsidRDefault="00BF3F47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Inabagargar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5507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80 Km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BA44" w14:textId="77777777" w:rsidR="00BF3F47" w:rsidRDefault="00BF3F47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Takanamat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C2E7" w14:textId="77777777" w:rsidR="00BF3F47" w:rsidRDefault="00BF3F47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Tahoua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0FF4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DD2E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09DF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99E2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6631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3FA3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123</w:t>
            </w:r>
          </w:p>
        </w:tc>
      </w:tr>
      <w:tr w:rsidR="00BF3F47" w14:paraId="099722A5" w14:textId="77777777" w:rsidTr="006D43ED">
        <w:trPr>
          <w:trHeight w:val="37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98A4" w14:textId="77777777" w:rsidR="00BF3F47" w:rsidRDefault="00BF3F47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Intakana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99CE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83 Km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3F98" w14:textId="77777777" w:rsidR="00BF3F47" w:rsidRDefault="00BF3F47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Tebaram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4FD4" w14:textId="77777777" w:rsidR="00BF3F47" w:rsidRDefault="00BF3F47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Tahoua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7F44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01F0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0A70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31A6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614F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C96C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251</w:t>
            </w:r>
          </w:p>
        </w:tc>
      </w:tr>
      <w:tr w:rsidR="00BF3F47" w14:paraId="21C5491C" w14:textId="77777777" w:rsidTr="006D43ED">
        <w:trPr>
          <w:trHeight w:val="37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CD1E" w14:textId="77777777" w:rsidR="00BF3F47" w:rsidRDefault="00BF3F47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Taksanainasse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9BB8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34 km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8E94" w14:textId="77777777" w:rsidR="00BF3F47" w:rsidRDefault="00BF3F47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Tillia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881A" w14:textId="77777777" w:rsidR="00BF3F47" w:rsidRDefault="00BF3F47">
            <w:pPr>
              <w:rPr>
                <w:rFonts w:ascii="Arial Narrow" w:hAnsi="Arial Narrow" w:cs="SimSun"/>
              </w:rPr>
            </w:pPr>
            <w:proofErr w:type="spellStart"/>
            <w:r>
              <w:rPr>
                <w:rFonts w:ascii="Arial Narrow" w:hAnsi="Arial Narrow"/>
              </w:rPr>
              <w:t>Tillia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2599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4019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FB9C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8B87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9D9F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C5F7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63</w:t>
            </w:r>
          </w:p>
        </w:tc>
      </w:tr>
      <w:tr w:rsidR="00BF3F47" w14:paraId="75810F00" w14:textId="77777777" w:rsidTr="006D43ED">
        <w:trPr>
          <w:trHeight w:val="37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6960" w14:textId="77777777" w:rsidR="00BF3F47" w:rsidRDefault="00BF3F47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Goulba</w:t>
            </w:r>
            <w:proofErr w:type="spellEnd"/>
            <w:r>
              <w:rPr>
                <w:rFonts w:ascii="Arial Narrow" w:hAnsi="Arial Narrow" w:cs="Arial"/>
              </w:rPr>
              <w:t xml:space="preserve">/Agando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562E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70 km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CF12" w14:textId="77777777" w:rsidR="00BF3F47" w:rsidRDefault="00BF3F47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Tillia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AD64" w14:textId="77777777" w:rsidR="00BF3F47" w:rsidRDefault="00BF3F47">
            <w:pPr>
              <w:rPr>
                <w:rFonts w:ascii="Arial Narrow" w:hAnsi="Arial Narrow" w:cs="SimSun"/>
              </w:rPr>
            </w:pPr>
            <w:proofErr w:type="spellStart"/>
            <w:r>
              <w:rPr>
                <w:rFonts w:ascii="Arial Narrow" w:hAnsi="Arial Narrow"/>
              </w:rPr>
              <w:t>Tillia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DCF2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276D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4FA6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5EFC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AE8F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6297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83</w:t>
            </w:r>
          </w:p>
        </w:tc>
      </w:tr>
      <w:tr w:rsidR="00BF3F47" w14:paraId="27F26D72" w14:textId="77777777" w:rsidTr="006D43ED">
        <w:trPr>
          <w:trHeight w:val="37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57AA" w14:textId="77777777" w:rsidR="00BF3F47" w:rsidRDefault="00BF3F47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Assagaygay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0321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30 km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D1E6" w14:textId="77777777" w:rsidR="00BF3F47" w:rsidRDefault="00BF3F47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Tillia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0DEB" w14:textId="77777777" w:rsidR="00BF3F47" w:rsidRDefault="00BF3F47">
            <w:pPr>
              <w:rPr>
                <w:rFonts w:ascii="Arial Narrow" w:hAnsi="Arial Narrow" w:cs="SimSun"/>
              </w:rPr>
            </w:pPr>
            <w:proofErr w:type="spellStart"/>
            <w:r>
              <w:rPr>
                <w:rFonts w:ascii="Arial Narrow" w:hAnsi="Arial Narrow"/>
              </w:rPr>
              <w:t>Tillia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AE09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7BEB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A862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926B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CC0B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8C2E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64</w:t>
            </w:r>
          </w:p>
        </w:tc>
      </w:tr>
      <w:tr w:rsidR="00BF3F47" w14:paraId="605D17BB" w14:textId="77777777" w:rsidTr="006D43ED">
        <w:trPr>
          <w:trHeight w:val="37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72C0" w14:textId="77777777" w:rsidR="00BF3F47" w:rsidRDefault="00BF3F47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Inizdane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FC68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65 km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CE49" w14:textId="77777777" w:rsidR="00BF3F47" w:rsidRDefault="00BF3F47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Tillia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C2AE" w14:textId="77777777" w:rsidR="00BF3F47" w:rsidRDefault="00BF3F47">
            <w:pPr>
              <w:rPr>
                <w:rFonts w:ascii="Arial Narrow" w:hAnsi="Arial Narrow" w:cs="SimSun"/>
              </w:rPr>
            </w:pPr>
            <w:proofErr w:type="spellStart"/>
            <w:r>
              <w:rPr>
                <w:rFonts w:ascii="Arial Narrow" w:hAnsi="Arial Narrow"/>
              </w:rPr>
              <w:t>Tillia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3FDD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D308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BA43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8CCF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AD53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37F8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153</w:t>
            </w:r>
          </w:p>
        </w:tc>
      </w:tr>
      <w:tr w:rsidR="00BF3F47" w14:paraId="15FC8BF6" w14:textId="77777777" w:rsidTr="006D43ED">
        <w:trPr>
          <w:trHeight w:val="37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5DB0" w14:textId="77777777" w:rsidR="00BF3F47" w:rsidRDefault="00BF3F47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Intazayene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1357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35 km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A161" w14:textId="77777777" w:rsidR="00BF3F47" w:rsidRDefault="00BF3F47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Tillia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0FF6" w14:textId="77777777" w:rsidR="00BF3F47" w:rsidRDefault="00BF3F47">
            <w:pPr>
              <w:rPr>
                <w:rFonts w:ascii="Arial Narrow" w:hAnsi="Arial Narrow" w:cs="SimSun"/>
              </w:rPr>
            </w:pPr>
            <w:proofErr w:type="spellStart"/>
            <w:r>
              <w:rPr>
                <w:rFonts w:ascii="Arial Narrow" w:hAnsi="Arial Narrow"/>
              </w:rPr>
              <w:t>Tillia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FE72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5074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417E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3FF7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9B42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F31E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428</w:t>
            </w:r>
          </w:p>
        </w:tc>
      </w:tr>
      <w:tr w:rsidR="00BF3F47" w14:paraId="4E95CAB8" w14:textId="77777777" w:rsidTr="006D43ED">
        <w:trPr>
          <w:trHeight w:val="37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097A" w14:textId="77777777" w:rsidR="00BF3F47" w:rsidRDefault="00BF3F47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Tourouf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4E22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15 km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4CC3" w14:textId="77777777" w:rsidR="00BF3F47" w:rsidRDefault="00BF3F47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Tillia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A995" w14:textId="77777777" w:rsidR="00BF3F47" w:rsidRDefault="00BF3F47">
            <w:pPr>
              <w:rPr>
                <w:rFonts w:ascii="Arial Narrow" w:hAnsi="Arial Narrow" w:cs="SimSun"/>
              </w:rPr>
            </w:pPr>
            <w:proofErr w:type="spellStart"/>
            <w:r>
              <w:rPr>
                <w:rFonts w:ascii="Arial Narrow" w:hAnsi="Arial Narrow"/>
              </w:rPr>
              <w:t>Tillia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A3AE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0913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06F3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8B72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4EDC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1B79" w14:textId="77777777" w:rsidR="00BF3F47" w:rsidRDefault="00BF3F4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113</w:t>
            </w:r>
          </w:p>
        </w:tc>
      </w:tr>
      <w:tr w:rsidR="006D43ED" w:rsidRPr="006D43ED" w14:paraId="5E78CA03" w14:textId="77777777" w:rsidTr="006D43ED">
        <w:trPr>
          <w:trHeight w:val="37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E5E9" w14:textId="77777777" w:rsidR="00BF3F47" w:rsidRPr="006D43ED" w:rsidRDefault="00BF3F47">
            <w:pPr>
              <w:rPr>
                <w:rFonts w:ascii="Arial Narrow" w:hAnsi="Arial Narrow" w:cs="Arial"/>
                <w:bCs/>
              </w:rPr>
            </w:pPr>
            <w:proofErr w:type="spellStart"/>
            <w:r w:rsidRPr="006D43ED">
              <w:rPr>
                <w:rFonts w:ascii="Arial Narrow" w:hAnsi="Arial Narrow" w:cs="Arial"/>
                <w:bCs/>
              </w:rPr>
              <w:t>Azakaza</w:t>
            </w:r>
            <w:proofErr w:type="spellEnd"/>
            <w:r w:rsidRPr="006D43ED">
              <w:rPr>
                <w:rFonts w:ascii="Arial Narrow" w:hAnsi="Arial Narrow" w:cs="Arial"/>
                <w:bCs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F927" w14:textId="77777777" w:rsidR="00BF3F47" w:rsidRPr="006D43ED" w:rsidRDefault="00BF3F47">
            <w:pPr>
              <w:rPr>
                <w:rFonts w:ascii="Arial Narrow" w:hAnsi="Arial Narrow" w:cs="Arial"/>
                <w:bCs/>
              </w:rPr>
            </w:pPr>
            <w:r w:rsidRPr="006D43ED">
              <w:rPr>
                <w:rFonts w:ascii="Arial Narrow" w:hAnsi="Arial Narrow" w:cs="Arial"/>
                <w:bCs/>
              </w:rPr>
              <w:t xml:space="preserve">10 km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4162" w14:textId="77777777" w:rsidR="00BF3F47" w:rsidRPr="006D43ED" w:rsidRDefault="00BF3F47">
            <w:pPr>
              <w:rPr>
                <w:rFonts w:ascii="Arial Narrow" w:hAnsi="Arial Narrow" w:cs="Arial"/>
                <w:bCs/>
              </w:rPr>
            </w:pPr>
            <w:proofErr w:type="spellStart"/>
            <w:r w:rsidRPr="006D43ED">
              <w:rPr>
                <w:rFonts w:ascii="Arial Narrow" w:hAnsi="Arial Narrow" w:cs="Arial"/>
                <w:bCs/>
              </w:rPr>
              <w:t>Tillia</w:t>
            </w:r>
            <w:proofErr w:type="spellEnd"/>
            <w:r w:rsidRPr="006D43ED">
              <w:rPr>
                <w:rFonts w:ascii="Arial Narrow" w:hAnsi="Arial Narrow" w:cs="Arial"/>
                <w:bCs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1BF3" w14:textId="77777777" w:rsidR="00BF3F47" w:rsidRPr="006D43ED" w:rsidRDefault="00BF3F47">
            <w:pPr>
              <w:rPr>
                <w:rFonts w:ascii="Arial Narrow" w:hAnsi="Arial Narrow" w:cs="SimSun"/>
                <w:bCs/>
              </w:rPr>
            </w:pPr>
            <w:proofErr w:type="spellStart"/>
            <w:r w:rsidRPr="006D43ED">
              <w:rPr>
                <w:rFonts w:ascii="Arial Narrow" w:hAnsi="Arial Narrow"/>
                <w:bCs/>
              </w:rPr>
              <w:t>Tillia</w:t>
            </w:r>
            <w:proofErr w:type="spellEnd"/>
            <w:r w:rsidRPr="006D43ED"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20D3" w14:textId="77777777" w:rsidR="00BF3F47" w:rsidRPr="006D43ED" w:rsidRDefault="00BF3F47">
            <w:pPr>
              <w:rPr>
                <w:rFonts w:ascii="Arial Narrow" w:hAnsi="Arial Narrow" w:cs="Arial"/>
                <w:bCs/>
              </w:rPr>
            </w:pPr>
            <w:r w:rsidRPr="006D43ED">
              <w:rPr>
                <w:rFonts w:ascii="Arial Narrow" w:hAnsi="Arial Narrow" w:cs="Arial"/>
                <w:bCs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3FE7" w14:textId="77777777" w:rsidR="00BF3F47" w:rsidRPr="006D43ED" w:rsidRDefault="00BF3F47">
            <w:pPr>
              <w:rPr>
                <w:rFonts w:ascii="Arial Narrow" w:hAnsi="Arial Narrow" w:cs="Arial"/>
                <w:bCs/>
              </w:rPr>
            </w:pPr>
            <w:r w:rsidRPr="006D43ED">
              <w:rPr>
                <w:rFonts w:ascii="Arial Narrow" w:hAnsi="Arial Narrow" w:cs="Arial"/>
                <w:bCs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677F" w14:textId="77777777" w:rsidR="00BF3F47" w:rsidRPr="006D43ED" w:rsidRDefault="00BF3F47">
            <w:pPr>
              <w:rPr>
                <w:rFonts w:ascii="Arial Narrow" w:hAnsi="Arial Narrow" w:cs="Arial"/>
                <w:bCs/>
              </w:rPr>
            </w:pPr>
            <w:r w:rsidRPr="006D43ED">
              <w:rPr>
                <w:rFonts w:ascii="Arial Narrow" w:hAnsi="Arial Narrow" w:cs="Arial"/>
                <w:bCs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403C" w14:textId="77777777" w:rsidR="00BF3F47" w:rsidRPr="006D43ED" w:rsidRDefault="00BF3F47">
            <w:pPr>
              <w:rPr>
                <w:rFonts w:ascii="Arial Narrow" w:hAnsi="Arial Narrow" w:cs="Arial"/>
                <w:bCs/>
              </w:rPr>
            </w:pPr>
            <w:r w:rsidRPr="006D43ED">
              <w:rPr>
                <w:rFonts w:ascii="Arial Narrow" w:hAnsi="Arial Narrow" w:cs="Arial"/>
                <w:bCs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3A7A" w14:textId="77777777" w:rsidR="00BF3F47" w:rsidRPr="006D43ED" w:rsidRDefault="00BF3F47">
            <w:pPr>
              <w:rPr>
                <w:rFonts w:ascii="Arial Narrow" w:hAnsi="Arial Narrow" w:cs="Arial"/>
                <w:bCs/>
              </w:rPr>
            </w:pPr>
            <w:r w:rsidRPr="006D43ED">
              <w:rPr>
                <w:rFonts w:ascii="Arial Narrow" w:hAnsi="Arial Narrow" w:cs="Arial"/>
                <w:bCs/>
              </w:rPr>
              <w:t>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3DC0" w14:textId="77777777" w:rsidR="00BF3F47" w:rsidRPr="006D43ED" w:rsidRDefault="00BF3F47">
            <w:pPr>
              <w:rPr>
                <w:rFonts w:ascii="Arial Narrow" w:hAnsi="Arial Narrow" w:cs="Arial"/>
                <w:bCs/>
              </w:rPr>
            </w:pPr>
            <w:r w:rsidRPr="006D43ED">
              <w:rPr>
                <w:rFonts w:ascii="Arial Narrow" w:hAnsi="Arial Narrow" w:cs="Arial"/>
                <w:bCs/>
              </w:rPr>
              <w:t>39</w:t>
            </w:r>
          </w:p>
        </w:tc>
      </w:tr>
    </w:tbl>
    <w:p w14:paraId="472E03BB" w14:textId="77777777" w:rsidR="006D43ED" w:rsidRDefault="006D43ED" w:rsidP="006D43ED">
      <w:pPr>
        <w:tabs>
          <w:tab w:val="left" w:pos="7260"/>
        </w:tabs>
        <w:jc w:val="both"/>
        <w:rPr>
          <w:rFonts w:asciiTheme="minorHAnsi" w:hAnsiTheme="minorHAnsi" w:cstheme="minorHAnsi"/>
          <w:bCs/>
          <w:lang w:val="fr-FR"/>
        </w:rPr>
      </w:pPr>
    </w:p>
    <w:p w14:paraId="623FD2CE" w14:textId="23235BC9" w:rsidR="00C70521" w:rsidRDefault="001E3FCC" w:rsidP="00494AFA">
      <w:pPr>
        <w:jc w:val="both"/>
        <w:textAlignment w:val="baseline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Le rétablissement progressif du réseau de distribution de l’eau </w:t>
      </w:r>
      <w:r w:rsidRPr="00C70521">
        <w:rPr>
          <w:rFonts w:asciiTheme="minorHAnsi" w:hAnsiTheme="minorHAnsi" w:cstheme="minorHAnsi"/>
          <w:lang w:val="fr-FR"/>
        </w:rPr>
        <w:t>à</w:t>
      </w:r>
      <w:r>
        <w:rPr>
          <w:rFonts w:asciiTheme="minorHAnsi" w:hAnsiTheme="minorHAnsi" w:cstheme="minorHAnsi"/>
          <w:lang w:val="fr-FR"/>
        </w:rPr>
        <w:t xml:space="preserve"> Ia ZAR </w:t>
      </w:r>
      <w:proofErr w:type="spellStart"/>
      <w:r>
        <w:rPr>
          <w:rFonts w:asciiTheme="minorHAnsi" w:hAnsiTheme="minorHAnsi" w:cstheme="minorHAnsi"/>
          <w:lang w:val="fr-FR"/>
        </w:rPr>
        <w:t>Intikane</w:t>
      </w:r>
      <w:proofErr w:type="spellEnd"/>
      <w:r>
        <w:rPr>
          <w:rFonts w:asciiTheme="minorHAnsi" w:hAnsiTheme="minorHAnsi" w:cstheme="minorHAnsi"/>
          <w:lang w:val="fr-FR"/>
        </w:rPr>
        <w:t xml:space="preserve"> laisse présager le retour spontané de la population en mouvement vers </w:t>
      </w:r>
      <w:proofErr w:type="spellStart"/>
      <w:r>
        <w:rPr>
          <w:rFonts w:asciiTheme="minorHAnsi" w:hAnsiTheme="minorHAnsi" w:cstheme="minorHAnsi"/>
          <w:lang w:val="fr-FR"/>
        </w:rPr>
        <w:t>Intikane</w:t>
      </w:r>
      <w:proofErr w:type="spellEnd"/>
      <w:r>
        <w:rPr>
          <w:rFonts w:asciiTheme="minorHAnsi" w:hAnsiTheme="minorHAnsi" w:cstheme="minorHAnsi"/>
          <w:lang w:val="fr-FR"/>
        </w:rPr>
        <w:t xml:space="preserve">, qui pour le moment est fortement conditionné par le retour </w:t>
      </w:r>
      <w:r w:rsidRPr="00C70521">
        <w:rPr>
          <w:rFonts w:asciiTheme="minorHAnsi" w:hAnsiTheme="minorHAnsi" w:cstheme="minorHAnsi"/>
          <w:lang w:val="fr-FR"/>
        </w:rPr>
        <w:t>à</w:t>
      </w:r>
      <w:r>
        <w:rPr>
          <w:rFonts w:asciiTheme="minorHAnsi" w:hAnsiTheme="minorHAnsi" w:cstheme="minorHAnsi"/>
          <w:lang w:val="fr-FR"/>
        </w:rPr>
        <w:t xml:space="preserve"> la normal des conditions sécuritaires.</w:t>
      </w:r>
    </w:p>
    <w:p w14:paraId="1E8505FD" w14:textId="704377D3" w:rsidR="001E3FCC" w:rsidRDefault="001E3FCC" w:rsidP="00494AFA">
      <w:pPr>
        <w:jc w:val="both"/>
        <w:textAlignment w:val="baseline"/>
        <w:rPr>
          <w:rFonts w:asciiTheme="minorHAnsi" w:hAnsiTheme="minorHAnsi" w:cstheme="minorHAnsi"/>
          <w:lang w:val="fr-FR"/>
        </w:rPr>
      </w:pPr>
    </w:p>
    <w:p w14:paraId="6758CD57" w14:textId="51C7ECDC" w:rsidR="001E3FCC" w:rsidRDefault="001E3FCC" w:rsidP="00494AFA">
      <w:pPr>
        <w:jc w:val="both"/>
        <w:textAlignment w:val="baseline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Néanmoins, les conditions de vie de la population en mouvement sont déplorables au niveau du site temporaire de </w:t>
      </w:r>
      <w:proofErr w:type="spellStart"/>
      <w:r>
        <w:rPr>
          <w:rFonts w:asciiTheme="minorHAnsi" w:hAnsiTheme="minorHAnsi" w:cstheme="minorHAnsi"/>
          <w:lang w:val="fr-FR"/>
        </w:rPr>
        <w:t>Telemces</w:t>
      </w:r>
      <w:proofErr w:type="spellEnd"/>
      <w:r>
        <w:rPr>
          <w:rFonts w:asciiTheme="minorHAnsi" w:hAnsiTheme="minorHAnsi" w:cstheme="minorHAnsi"/>
          <w:lang w:val="fr-FR"/>
        </w:rPr>
        <w:t xml:space="preserve"> et l’accès dans les autres sites est problématique, laissant la population livrée </w:t>
      </w:r>
      <w:r w:rsidRPr="00C70521">
        <w:rPr>
          <w:rFonts w:asciiTheme="minorHAnsi" w:hAnsiTheme="minorHAnsi" w:cstheme="minorHAnsi"/>
          <w:lang w:val="fr-FR"/>
        </w:rPr>
        <w:t>à</w:t>
      </w:r>
      <w:r>
        <w:rPr>
          <w:rFonts w:asciiTheme="minorHAnsi" w:hAnsiTheme="minorHAnsi" w:cstheme="minorHAnsi"/>
          <w:lang w:val="fr-FR"/>
        </w:rPr>
        <w:t xml:space="preserve"> elle-même.</w:t>
      </w:r>
    </w:p>
    <w:p w14:paraId="2E0486DC" w14:textId="7EB673FE" w:rsidR="001E3FCC" w:rsidRDefault="001E3FCC" w:rsidP="00494AFA">
      <w:pPr>
        <w:jc w:val="both"/>
        <w:textAlignment w:val="baseline"/>
        <w:rPr>
          <w:rFonts w:asciiTheme="minorHAnsi" w:hAnsiTheme="minorHAnsi" w:cstheme="minorHAnsi"/>
          <w:lang w:val="fr-FR"/>
        </w:rPr>
      </w:pPr>
    </w:p>
    <w:p w14:paraId="388CE1D1" w14:textId="77777777" w:rsidR="001E3FCC" w:rsidRDefault="001E3FCC" w:rsidP="00494AFA">
      <w:pPr>
        <w:jc w:val="both"/>
        <w:textAlignment w:val="baseline"/>
        <w:rPr>
          <w:rFonts w:asciiTheme="minorHAnsi" w:hAnsiTheme="minorHAnsi" w:cstheme="minorHAnsi"/>
          <w:lang w:val="fr-FR"/>
        </w:rPr>
      </w:pPr>
    </w:p>
    <w:p w14:paraId="60BE4B06" w14:textId="34C3D59D" w:rsidR="00C70521" w:rsidRPr="00702D0A" w:rsidRDefault="00C70521" w:rsidP="00C70521">
      <w:pPr>
        <w:tabs>
          <w:tab w:val="left" w:pos="7260"/>
        </w:tabs>
        <w:jc w:val="both"/>
        <w:rPr>
          <w:rFonts w:asciiTheme="minorHAnsi" w:hAnsiTheme="minorHAnsi" w:cstheme="minorHAnsi"/>
          <w:b/>
          <w:bCs/>
          <w:color w:val="4472C4" w:themeColor="accent1"/>
          <w:lang w:val="fr-FR"/>
        </w:rPr>
      </w:pPr>
      <w:r>
        <w:rPr>
          <w:rFonts w:asciiTheme="minorHAnsi" w:hAnsiTheme="minorHAnsi" w:cstheme="minorHAnsi"/>
          <w:b/>
          <w:bCs/>
          <w:color w:val="4472C4" w:themeColor="accent1"/>
          <w:lang w:val="fr-FR"/>
        </w:rPr>
        <w:t xml:space="preserve">Situation critique dans le site temporaire de </w:t>
      </w:r>
      <w:proofErr w:type="spellStart"/>
      <w:r>
        <w:rPr>
          <w:rFonts w:asciiTheme="minorHAnsi" w:hAnsiTheme="minorHAnsi" w:cstheme="minorHAnsi"/>
          <w:b/>
          <w:bCs/>
          <w:color w:val="4472C4" w:themeColor="accent1"/>
          <w:lang w:val="fr-FR"/>
        </w:rPr>
        <w:t>Telemces</w:t>
      </w:r>
      <w:proofErr w:type="spellEnd"/>
    </w:p>
    <w:p w14:paraId="6B4CECAD" w14:textId="012098A5" w:rsidR="00C70521" w:rsidRDefault="00C70521" w:rsidP="00494AFA">
      <w:pPr>
        <w:jc w:val="both"/>
        <w:textAlignment w:val="baseline"/>
        <w:rPr>
          <w:rFonts w:asciiTheme="minorHAnsi" w:hAnsiTheme="minorHAnsi" w:cstheme="minorHAnsi"/>
          <w:lang w:val="fr-FR"/>
        </w:rPr>
      </w:pPr>
    </w:p>
    <w:p w14:paraId="48C5EDDB" w14:textId="755931EF" w:rsidR="00372D57" w:rsidRDefault="00372D57" w:rsidP="00372D57">
      <w:pPr>
        <w:jc w:val="both"/>
        <w:textAlignment w:val="baseline"/>
        <w:rPr>
          <w:rFonts w:asciiTheme="minorHAnsi" w:hAnsiTheme="minorHAnsi" w:cstheme="minorHAnsi"/>
          <w:b/>
          <w:bCs/>
          <w:i/>
          <w:iCs/>
          <w:u w:val="single"/>
          <w:lang w:val="fr-FR"/>
        </w:rPr>
      </w:pPr>
      <w:r>
        <w:rPr>
          <w:rFonts w:asciiTheme="minorHAnsi" w:hAnsiTheme="minorHAnsi" w:cstheme="minorHAnsi"/>
          <w:b/>
          <w:bCs/>
          <w:i/>
          <w:iCs/>
          <w:u w:val="single"/>
          <w:lang w:val="fr-FR"/>
        </w:rPr>
        <w:t xml:space="preserve">Atteinte </w:t>
      </w:r>
      <w:r w:rsidR="008F3556" w:rsidRPr="008F3556">
        <w:rPr>
          <w:rFonts w:asciiTheme="minorHAnsi" w:hAnsiTheme="minorHAnsi" w:cstheme="minorHAnsi"/>
          <w:b/>
          <w:bCs/>
          <w:i/>
          <w:iCs/>
          <w:u w:val="single"/>
          <w:lang w:val="fr-FR"/>
        </w:rPr>
        <w:t>à</w:t>
      </w:r>
      <w:r>
        <w:rPr>
          <w:rFonts w:asciiTheme="minorHAnsi" w:hAnsiTheme="minorHAnsi" w:cstheme="minorHAnsi"/>
          <w:b/>
          <w:bCs/>
          <w:i/>
          <w:iCs/>
          <w:u w:val="single"/>
          <w:lang w:val="fr-FR"/>
        </w:rPr>
        <w:t xml:space="preserve"> la liberté de mouvement :</w:t>
      </w:r>
    </w:p>
    <w:p w14:paraId="0F2CE7D1" w14:textId="0C7D7F9D" w:rsidR="00372D57" w:rsidRDefault="00372D57" w:rsidP="00494AFA">
      <w:pPr>
        <w:jc w:val="both"/>
        <w:textAlignment w:val="baseline"/>
        <w:rPr>
          <w:rFonts w:asciiTheme="minorHAnsi" w:hAnsiTheme="minorHAnsi" w:cstheme="minorHAnsi"/>
          <w:lang w:val="fr-FR"/>
        </w:rPr>
      </w:pPr>
    </w:p>
    <w:p w14:paraId="459554F8" w14:textId="3B3E92B7" w:rsidR="00372D57" w:rsidRDefault="00372D57" w:rsidP="00494AFA">
      <w:pPr>
        <w:jc w:val="both"/>
        <w:textAlignment w:val="baseline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La situation qui prévaut actuellement </w:t>
      </w:r>
      <w:r w:rsidR="008F3556" w:rsidRPr="00C70521">
        <w:rPr>
          <w:rFonts w:asciiTheme="minorHAnsi" w:hAnsiTheme="minorHAnsi" w:cstheme="minorHAnsi"/>
          <w:lang w:val="fr-FR"/>
        </w:rPr>
        <w:t>à</w:t>
      </w:r>
      <w:r>
        <w:rPr>
          <w:rFonts w:asciiTheme="minorHAnsi" w:hAnsiTheme="minorHAnsi" w:cstheme="minorHAnsi"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lang w:val="fr-FR"/>
        </w:rPr>
        <w:t>Telemces</w:t>
      </w:r>
      <w:proofErr w:type="spellEnd"/>
      <w:r>
        <w:rPr>
          <w:rFonts w:asciiTheme="minorHAnsi" w:hAnsiTheme="minorHAnsi" w:cstheme="minorHAnsi"/>
          <w:lang w:val="fr-FR"/>
        </w:rPr>
        <w:t xml:space="preserve"> porte atteinte </w:t>
      </w:r>
      <w:r w:rsidR="008F3556" w:rsidRPr="00C70521">
        <w:rPr>
          <w:rFonts w:asciiTheme="minorHAnsi" w:hAnsiTheme="minorHAnsi" w:cstheme="minorHAnsi"/>
          <w:lang w:val="fr-FR"/>
        </w:rPr>
        <w:t>à</w:t>
      </w:r>
      <w:r>
        <w:rPr>
          <w:rFonts w:asciiTheme="minorHAnsi" w:hAnsiTheme="minorHAnsi" w:cstheme="minorHAnsi"/>
          <w:lang w:val="fr-FR"/>
        </w:rPr>
        <w:t xml:space="preserve"> la liberté de mouvement des personnes sous notre mandat, </w:t>
      </w:r>
      <w:r w:rsidR="008F3556">
        <w:rPr>
          <w:rFonts w:asciiTheme="minorHAnsi" w:hAnsiTheme="minorHAnsi" w:cstheme="minorHAnsi"/>
          <w:lang w:val="fr-FR"/>
        </w:rPr>
        <w:t>une situation qui perdure depuis le</w:t>
      </w:r>
      <w:r>
        <w:rPr>
          <w:rFonts w:asciiTheme="minorHAnsi" w:hAnsiTheme="minorHAnsi" w:cstheme="minorHAnsi"/>
          <w:lang w:val="fr-FR"/>
        </w:rPr>
        <w:t xml:space="preserve"> lendemain de l’attaque </w:t>
      </w:r>
      <w:r w:rsidR="008F3556">
        <w:rPr>
          <w:rFonts w:asciiTheme="minorHAnsi" w:hAnsiTheme="minorHAnsi" w:cstheme="minorHAnsi"/>
          <w:lang w:val="fr-FR"/>
        </w:rPr>
        <w:t xml:space="preserve">ou tout mouvement est sous contrôle des autorités civiles et militaires sur place, même jusqu’au renvoi vers le site temporaire des personnes en déplacement chez des ménages d’accueil du village de </w:t>
      </w:r>
      <w:proofErr w:type="spellStart"/>
      <w:r w:rsidR="008F3556">
        <w:rPr>
          <w:rFonts w:asciiTheme="minorHAnsi" w:hAnsiTheme="minorHAnsi" w:cstheme="minorHAnsi"/>
          <w:lang w:val="fr-FR"/>
        </w:rPr>
        <w:t>Telemces</w:t>
      </w:r>
      <w:proofErr w:type="spellEnd"/>
      <w:r w:rsidR="008F3556">
        <w:rPr>
          <w:rFonts w:asciiTheme="minorHAnsi" w:hAnsiTheme="minorHAnsi" w:cstheme="minorHAnsi"/>
          <w:lang w:val="fr-FR"/>
        </w:rPr>
        <w:t>.</w:t>
      </w:r>
    </w:p>
    <w:p w14:paraId="6A8F4CB8" w14:textId="167F31AC" w:rsidR="007734C2" w:rsidRDefault="007734C2" w:rsidP="00494AFA">
      <w:pPr>
        <w:jc w:val="both"/>
        <w:textAlignment w:val="baseline"/>
        <w:rPr>
          <w:rFonts w:asciiTheme="minorHAnsi" w:hAnsiTheme="minorHAnsi" w:cstheme="minorHAnsi"/>
          <w:lang w:val="fr-FR"/>
        </w:rPr>
      </w:pPr>
    </w:p>
    <w:p w14:paraId="28A14C82" w14:textId="74A8B23F" w:rsidR="007734C2" w:rsidRDefault="007734C2" w:rsidP="00494AFA">
      <w:pPr>
        <w:jc w:val="both"/>
        <w:textAlignment w:val="baseline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Il a été impossible aux personnes en mouvement de cohabiter avec la communauté locale. Le village de </w:t>
      </w:r>
      <w:proofErr w:type="spellStart"/>
      <w:r>
        <w:rPr>
          <w:rFonts w:asciiTheme="minorHAnsi" w:hAnsiTheme="minorHAnsi" w:cstheme="minorHAnsi"/>
          <w:lang w:val="fr-FR"/>
        </w:rPr>
        <w:t>Telemces</w:t>
      </w:r>
      <w:proofErr w:type="spellEnd"/>
      <w:r>
        <w:rPr>
          <w:rFonts w:asciiTheme="minorHAnsi" w:hAnsiTheme="minorHAnsi" w:cstheme="minorHAnsi"/>
          <w:lang w:val="fr-FR"/>
        </w:rPr>
        <w:t xml:space="preserve"> est fermé aux personnes en mouvement.</w:t>
      </w:r>
    </w:p>
    <w:p w14:paraId="76868831" w14:textId="77777777" w:rsidR="00372D57" w:rsidRPr="00372D57" w:rsidRDefault="00372D57" w:rsidP="00494AFA">
      <w:pPr>
        <w:jc w:val="both"/>
        <w:textAlignment w:val="baseline"/>
        <w:rPr>
          <w:rFonts w:asciiTheme="minorHAnsi" w:hAnsiTheme="minorHAnsi" w:cstheme="minorHAnsi"/>
          <w:lang w:val="fr-FR"/>
        </w:rPr>
      </w:pPr>
    </w:p>
    <w:p w14:paraId="2FB4CC76" w14:textId="7BB5F961" w:rsidR="00040D0C" w:rsidRDefault="00040D0C" w:rsidP="00494AFA">
      <w:pPr>
        <w:jc w:val="both"/>
        <w:textAlignment w:val="baseline"/>
        <w:rPr>
          <w:rFonts w:asciiTheme="minorHAnsi" w:hAnsiTheme="minorHAnsi" w:cstheme="minorHAnsi"/>
          <w:b/>
          <w:bCs/>
          <w:i/>
          <w:iCs/>
          <w:u w:val="single"/>
          <w:lang w:val="fr-FR"/>
        </w:rPr>
      </w:pPr>
      <w:r>
        <w:rPr>
          <w:rFonts w:asciiTheme="minorHAnsi" w:hAnsiTheme="minorHAnsi" w:cstheme="minorHAnsi"/>
          <w:b/>
          <w:bCs/>
          <w:i/>
          <w:iCs/>
          <w:u w:val="single"/>
          <w:lang w:val="fr-FR"/>
        </w:rPr>
        <w:t xml:space="preserve">Abandon </w:t>
      </w:r>
      <w:r w:rsidR="00372D57">
        <w:rPr>
          <w:rFonts w:asciiTheme="minorHAnsi" w:hAnsiTheme="minorHAnsi" w:cstheme="minorHAnsi"/>
          <w:b/>
          <w:bCs/>
          <w:i/>
          <w:iCs/>
          <w:u w:val="single"/>
          <w:lang w:val="fr-FR"/>
        </w:rPr>
        <w:t xml:space="preserve">temporaire </w:t>
      </w:r>
      <w:r>
        <w:rPr>
          <w:rFonts w:asciiTheme="minorHAnsi" w:hAnsiTheme="minorHAnsi" w:cstheme="minorHAnsi"/>
          <w:b/>
          <w:bCs/>
          <w:i/>
          <w:iCs/>
          <w:u w:val="single"/>
          <w:lang w:val="fr-FR"/>
        </w:rPr>
        <w:t>de rôle dans les structures communautaires :</w:t>
      </w:r>
    </w:p>
    <w:p w14:paraId="245E3348" w14:textId="277BC563" w:rsidR="00040D0C" w:rsidRDefault="00040D0C" w:rsidP="00494AFA">
      <w:pPr>
        <w:jc w:val="both"/>
        <w:textAlignment w:val="baseline"/>
        <w:rPr>
          <w:rFonts w:asciiTheme="minorHAnsi" w:hAnsiTheme="minorHAnsi" w:cstheme="minorHAnsi"/>
          <w:lang w:val="fr-FR"/>
        </w:rPr>
      </w:pPr>
    </w:p>
    <w:p w14:paraId="52503A49" w14:textId="40C904A4" w:rsidR="00040D0C" w:rsidRDefault="00040D0C" w:rsidP="00494AFA">
      <w:pPr>
        <w:jc w:val="both"/>
        <w:textAlignment w:val="baseline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Selon les personnes sous notre mandat, les GANE ont fait passer un message </w:t>
      </w:r>
      <w:r w:rsidR="00372D57" w:rsidRPr="00C70521">
        <w:rPr>
          <w:rFonts w:asciiTheme="minorHAnsi" w:hAnsiTheme="minorHAnsi" w:cstheme="minorHAnsi"/>
          <w:lang w:val="fr-FR"/>
        </w:rPr>
        <w:t>à</w:t>
      </w:r>
      <w:r>
        <w:rPr>
          <w:rFonts w:asciiTheme="minorHAnsi" w:hAnsiTheme="minorHAnsi" w:cstheme="minorHAnsi"/>
          <w:lang w:val="fr-FR"/>
        </w:rPr>
        <w:t xml:space="preserve"> travers un leader religieux une menace pour les membres des </w:t>
      </w:r>
      <w:r w:rsidR="00372D57">
        <w:rPr>
          <w:rFonts w:asciiTheme="minorHAnsi" w:hAnsiTheme="minorHAnsi" w:cstheme="minorHAnsi"/>
          <w:lang w:val="fr-FR"/>
        </w:rPr>
        <w:t>différents</w:t>
      </w:r>
      <w:r>
        <w:rPr>
          <w:rFonts w:asciiTheme="minorHAnsi" w:hAnsiTheme="minorHAnsi" w:cstheme="minorHAnsi"/>
          <w:lang w:val="fr-FR"/>
        </w:rPr>
        <w:t xml:space="preserve"> </w:t>
      </w:r>
      <w:r w:rsidR="00372D57">
        <w:rPr>
          <w:rFonts w:asciiTheme="minorHAnsi" w:hAnsiTheme="minorHAnsi" w:cstheme="minorHAnsi"/>
          <w:lang w:val="fr-FR"/>
        </w:rPr>
        <w:t>comités</w:t>
      </w:r>
      <w:r>
        <w:rPr>
          <w:rFonts w:asciiTheme="minorHAnsi" w:hAnsiTheme="minorHAnsi" w:cstheme="minorHAnsi"/>
          <w:lang w:val="fr-FR"/>
        </w:rPr>
        <w:t xml:space="preserve"> et certains humanitaires</w:t>
      </w:r>
      <w:r w:rsidR="00372D57">
        <w:rPr>
          <w:rFonts w:asciiTheme="minorHAnsi" w:hAnsiTheme="minorHAnsi" w:cstheme="minorHAnsi"/>
          <w:lang w:val="fr-FR"/>
        </w:rPr>
        <w:t>, étant des cibles des GANE. Par crainte d’être persécutés, les membres des différents comités se font discrets et abandonnent temporairement leur rôle dans les structures communautaires.</w:t>
      </w:r>
    </w:p>
    <w:p w14:paraId="7AC3D2A7" w14:textId="45755105" w:rsidR="00583C73" w:rsidRDefault="00583C73" w:rsidP="00494AFA">
      <w:pPr>
        <w:jc w:val="both"/>
        <w:textAlignment w:val="baseline"/>
        <w:rPr>
          <w:rFonts w:asciiTheme="minorHAnsi" w:hAnsiTheme="minorHAnsi" w:cstheme="minorHAnsi"/>
          <w:lang w:val="fr-FR"/>
        </w:rPr>
      </w:pPr>
    </w:p>
    <w:p w14:paraId="69521240" w14:textId="251503AB" w:rsidR="00583C73" w:rsidRPr="00583C73" w:rsidRDefault="00583C73" w:rsidP="00583C73">
      <w:pPr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Certains membres de ces structures souhaite</w:t>
      </w:r>
      <w:r w:rsidRPr="00583C73">
        <w:rPr>
          <w:rFonts w:asciiTheme="minorHAnsi" w:hAnsiTheme="minorHAnsi" w:cstheme="minorHAnsi"/>
          <w:lang w:val="fr-FR"/>
        </w:rPr>
        <w:t xml:space="preserve">raient venir s’installer à Tahoua en attendant qu’une solution durable et définitive soit trouver </w:t>
      </w:r>
      <w:r>
        <w:rPr>
          <w:rFonts w:asciiTheme="minorHAnsi" w:hAnsiTheme="minorHAnsi" w:cstheme="minorHAnsi"/>
          <w:lang w:val="fr-FR"/>
        </w:rPr>
        <w:t xml:space="preserve">car des doutes planent sur la présence de </w:t>
      </w:r>
      <w:r w:rsidRPr="00583C73">
        <w:rPr>
          <w:rFonts w:asciiTheme="minorHAnsi" w:hAnsiTheme="minorHAnsi" w:cstheme="minorHAnsi"/>
          <w:lang w:val="fr-FR"/>
        </w:rPr>
        <w:t xml:space="preserve">certains présumés complices des </w:t>
      </w:r>
      <w:proofErr w:type="spellStart"/>
      <w:r w:rsidRPr="00583C73">
        <w:rPr>
          <w:rFonts w:asciiTheme="minorHAnsi" w:hAnsiTheme="minorHAnsi" w:cstheme="minorHAnsi"/>
          <w:lang w:val="fr-FR"/>
        </w:rPr>
        <w:t>GANEs</w:t>
      </w:r>
      <w:proofErr w:type="spellEnd"/>
      <w:r w:rsidRPr="00583C73">
        <w:rPr>
          <w:rFonts w:asciiTheme="minorHAnsi" w:hAnsiTheme="minorHAnsi" w:cstheme="minorHAnsi"/>
          <w:lang w:val="fr-FR"/>
        </w:rPr>
        <w:t xml:space="preserve"> à </w:t>
      </w:r>
      <w:proofErr w:type="spellStart"/>
      <w:r w:rsidRPr="00583C73">
        <w:rPr>
          <w:rFonts w:asciiTheme="minorHAnsi" w:hAnsiTheme="minorHAnsi" w:cstheme="minorHAnsi"/>
          <w:lang w:val="fr-FR"/>
        </w:rPr>
        <w:t>Intikane</w:t>
      </w:r>
      <w:proofErr w:type="spellEnd"/>
      <w:r w:rsidRPr="00583C73">
        <w:rPr>
          <w:rFonts w:asciiTheme="minorHAnsi" w:hAnsiTheme="minorHAnsi" w:cstheme="minorHAnsi"/>
          <w:lang w:val="fr-FR"/>
        </w:rPr>
        <w:t xml:space="preserve"> et au site </w:t>
      </w:r>
      <w:r>
        <w:rPr>
          <w:rFonts w:asciiTheme="minorHAnsi" w:hAnsiTheme="minorHAnsi" w:cstheme="minorHAnsi"/>
          <w:lang w:val="fr-FR"/>
        </w:rPr>
        <w:t>t</w:t>
      </w:r>
      <w:r w:rsidRPr="00583C73">
        <w:rPr>
          <w:rFonts w:asciiTheme="minorHAnsi" w:hAnsiTheme="minorHAnsi" w:cstheme="minorHAnsi"/>
          <w:lang w:val="fr-FR"/>
        </w:rPr>
        <w:t xml:space="preserve">emporaire de </w:t>
      </w:r>
      <w:proofErr w:type="spellStart"/>
      <w:r w:rsidRPr="00583C73">
        <w:rPr>
          <w:rFonts w:asciiTheme="minorHAnsi" w:hAnsiTheme="minorHAnsi" w:cstheme="minorHAnsi"/>
          <w:lang w:val="fr-FR"/>
        </w:rPr>
        <w:t>Telemces</w:t>
      </w:r>
      <w:proofErr w:type="spellEnd"/>
      <w:r>
        <w:rPr>
          <w:rFonts w:asciiTheme="minorHAnsi" w:hAnsiTheme="minorHAnsi" w:cstheme="minorHAnsi"/>
          <w:lang w:val="fr-FR"/>
        </w:rPr>
        <w:t>.</w:t>
      </w:r>
    </w:p>
    <w:p w14:paraId="40B20C80" w14:textId="77777777" w:rsidR="00583C73" w:rsidRDefault="00583C73" w:rsidP="00494AFA">
      <w:pPr>
        <w:jc w:val="both"/>
        <w:textAlignment w:val="baseline"/>
        <w:rPr>
          <w:rFonts w:asciiTheme="minorHAnsi" w:hAnsiTheme="minorHAnsi" w:cstheme="minorHAnsi"/>
          <w:lang w:val="fr-FR"/>
        </w:rPr>
      </w:pPr>
    </w:p>
    <w:p w14:paraId="427DACE6" w14:textId="6A5EC9A5" w:rsidR="008F3556" w:rsidRDefault="008F3556" w:rsidP="00494AFA">
      <w:pPr>
        <w:jc w:val="both"/>
        <w:textAlignment w:val="baseline"/>
        <w:rPr>
          <w:rFonts w:asciiTheme="minorHAnsi" w:hAnsiTheme="minorHAnsi" w:cstheme="minorHAnsi"/>
          <w:lang w:val="fr-FR"/>
        </w:rPr>
      </w:pPr>
    </w:p>
    <w:p w14:paraId="516AB3D4" w14:textId="69ABF322" w:rsidR="008F3556" w:rsidRPr="008F3556" w:rsidRDefault="008F3556" w:rsidP="00494AFA">
      <w:pPr>
        <w:jc w:val="both"/>
        <w:textAlignment w:val="baseline"/>
        <w:rPr>
          <w:rFonts w:asciiTheme="minorHAnsi" w:hAnsiTheme="minorHAnsi" w:cstheme="minorHAnsi"/>
          <w:b/>
          <w:bCs/>
          <w:i/>
          <w:iCs/>
          <w:u w:val="single"/>
          <w:lang w:val="fr-FR"/>
        </w:rPr>
      </w:pPr>
      <w:r>
        <w:rPr>
          <w:rFonts w:asciiTheme="minorHAnsi" w:hAnsiTheme="minorHAnsi" w:cstheme="minorHAnsi"/>
          <w:b/>
          <w:bCs/>
          <w:i/>
          <w:iCs/>
          <w:u w:val="single"/>
          <w:lang w:val="fr-FR"/>
        </w:rPr>
        <w:t xml:space="preserve">Population </w:t>
      </w:r>
      <w:r w:rsidRPr="008F3556">
        <w:rPr>
          <w:rFonts w:asciiTheme="minorHAnsi" w:hAnsiTheme="minorHAnsi" w:cstheme="minorHAnsi"/>
          <w:b/>
          <w:bCs/>
          <w:i/>
          <w:iCs/>
          <w:u w:val="single"/>
          <w:lang w:val="fr-FR"/>
        </w:rPr>
        <w:t>à</w:t>
      </w:r>
      <w:r>
        <w:rPr>
          <w:rFonts w:asciiTheme="minorHAnsi" w:hAnsiTheme="minorHAnsi" w:cstheme="minorHAnsi"/>
          <w:b/>
          <w:bCs/>
          <w:i/>
          <w:iCs/>
          <w:u w:val="single"/>
          <w:lang w:val="fr-FR"/>
        </w:rPr>
        <w:t xml:space="preserve"> risque d’incidents de protection :</w:t>
      </w:r>
    </w:p>
    <w:p w14:paraId="5BD57C6F" w14:textId="5F5658FF" w:rsidR="008F3556" w:rsidRDefault="008F3556" w:rsidP="00494AFA">
      <w:pPr>
        <w:jc w:val="both"/>
        <w:textAlignment w:val="baseline"/>
        <w:rPr>
          <w:rFonts w:asciiTheme="minorHAnsi" w:hAnsiTheme="minorHAnsi" w:cstheme="minorHAnsi"/>
          <w:lang w:val="fr-FR"/>
        </w:rPr>
      </w:pPr>
    </w:p>
    <w:p w14:paraId="0EA1076E" w14:textId="298F1DC8" w:rsidR="008F3556" w:rsidRDefault="008F3556" w:rsidP="00494AFA">
      <w:pPr>
        <w:jc w:val="both"/>
        <w:textAlignment w:val="baseline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Toutes les conditions sont réunies pour mettre la population en mouvement</w:t>
      </w:r>
      <w:r w:rsidR="00583C73">
        <w:rPr>
          <w:rFonts w:asciiTheme="minorHAnsi" w:hAnsiTheme="minorHAnsi" w:cstheme="minorHAnsi"/>
          <w:lang w:val="fr-FR"/>
        </w:rPr>
        <w:t xml:space="preserve"> et s’installant au site temporaire de </w:t>
      </w:r>
      <w:proofErr w:type="spellStart"/>
      <w:r w:rsidR="00583C73">
        <w:rPr>
          <w:rFonts w:asciiTheme="minorHAnsi" w:hAnsiTheme="minorHAnsi" w:cstheme="minorHAnsi"/>
          <w:lang w:val="fr-FR"/>
        </w:rPr>
        <w:t>Telemces</w:t>
      </w:r>
      <w:proofErr w:type="spellEnd"/>
      <w:r>
        <w:rPr>
          <w:rFonts w:asciiTheme="minorHAnsi" w:hAnsiTheme="minorHAnsi" w:cstheme="minorHAnsi"/>
          <w:lang w:val="fr-FR"/>
        </w:rPr>
        <w:t xml:space="preserve"> en risque d’incidents de protection que sont :</w:t>
      </w:r>
    </w:p>
    <w:p w14:paraId="2FD2C2C5" w14:textId="102F4CE5" w:rsidR="008F3556" w:rsidRDefault="008F3556" w:rsidP="008F3556">
      <w:pPr>
        <w:pStyle w:val="Paragraphedeliste"/>
        <w:numPr>
          <w:ilvl w:val="0"/>
          <w:numId w:val="8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F3556">
        <w:rPr>
          <w:rFonts w:asciiTheme="minorHAnsi" w:hAnsiTheme="minorHAnsi" w:cstheme="minorHAnsi"/>
          <w:sz w:val="22"/>
          <w:szCs w:val="22"/>
        </w:rPr>
        <w:t xml:space="preserve">L’interdiction de </w:t>
      </w:r>
      <w:r>
        <w:rPr>
          <w:rFonts w:asciiTheme="minorHAnsi" w:hAnsiTheme="minorHAnsi" w:cstheme="minorHAnsi"/>
          <w:sz w:val="22"/>
          <w:szCs w:val="22"/>
        </w:rPr>
        <w:t>toute forme d’assistance</w:t>
      </w:r>
      <w:r w:rsidR="00583C73">
        <w:rPr>
          <w:rFonts w:asciiTheme="minorHAnsi" w:hAnsiTheme="minorHAnsi" w:cstheme="minorHAnsi"/>
          <w:sz w:val="22"/>
          <w:szCs w:val="22"/>
        </w:rPr>
        <w:t>, notamment en vivres et non-vivres</w:t>
      </w:r>
      <w:r>
        <w:rPr>
          <w:rFonts w:asciiTheme="minorHAnsi" w:hAnsiTheme="minorHAnsi" w:cstheme="minorHAnsi"/>
          <w:sz w:val="22"/>
          <w:szCs w:val="22"/>
        </w:rPr>
        <w:t xml:space="preserve"> sur le site temporaire de </w:t>
      </w:r>
      <w:proofErr w:type="spellStart"/>
      <w:r>
        <w:rPr>
          <w:rFonts w:asciiTheme="minorHAnsi" w:hAnsiTheme="minorHAnsi" w:cstheme="minorHAnsi"/>
          <w:sz w:val="22"/>
          <w:szCs w:val="22"/>
        </w:rPr>
        <w:t>Telemces</w:t>
      </w:r>
      <w:proofErr w:type="spellEnd"/>
      <w:r>
        <w:rPr>
          <w:rFonts w:asciiTheme="minorHAnsi" w:hAnsiTheme="minorHAnsi" w:cstheme="minorHAnsi"/>
          <w:sz w:val="22"/>
          <w:szCs w:val="22"/>
        </w:rPr>
        <w:t>, sachant qu’il s’agit d’une population qui a tout abandonné pour fuir l’</w:t>
      </w:r>
      <w:r w:rsidR="00583C73">
        <w:rPr>
          <w:rFonts w:asciiTheme="minorHAnsi" w:hAnsiTheme="minorHAnsi" w:cstheme="minorHAnsi"/>
          <w:sz w:val="22"/>
          <w:szCs w:val="22"/>
        </w:rPr>
        <w:t>insécurité de la ZAR ;</w:t>
      </w:r>
    </w:p>
    <w:p w14:paraId="01A59E59" w14:textId="59AAB78A" w:rsidR="00583C73" w:rsidRDefault="00583C73" w:rsidP="008F3556">
      <w:pPr>
        <w:pStyle w:val="Paragraphedeliste"/>
        <w:numPr>
          <w:ilvl w:val="0"/>
          <w:numId w:val="8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L’installation d’une population dans un site nu, sans aucune infrastructure sociale de base qui pourrait entraver aussi bien le bien-être que la protection proprement dite de la population avec un risque accru de SGBV, ou toute autre forme de violences ;</w:t>
      </w:r>
    </w:p>
    <w:p w14:paraId="054FFE7B" w14:textId="25DAF80B" w:rsidR="00F90D60" w:rsidRDefault="00F90D60" w:rsidP="008F3556">
      <w:pPr>
        <w:pStyle w:val="Paragraphedeliste"/>
        <w:numPr>
          <w:ilvl w:val="0"/>
          <w:numId w:val="8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L’accès </w:t>
      </w:r>
      <w:r w:rsidRPr="00583C73">
        <w:rPr>
          <w:rFonts w:asciiTheme="minorHAnsi" w:hAnsiTheme="minorHAnsi" w:cstheme="minorHAnsi"/>
        </w:rPr>
        <w:t>à</w:t>
      </w:r>
      <w:r>
        <w:rPr>
          <w:rFonts w:asciiTheme="minorHAnsi" w:hAnsiTheme="minorHAnsi" w:cstheme="minorHAnsi"/>
          <w:sz w:val="22"/>
          <w:szCs w:val="22"/>
        </w:rPr>
        <w:t xml:space="preserve"> l’éducation pour les enfants, notamment ceux qui sont en classe d’examen est compromis, avec un risque accru d’avoir une année blanche.</w:t>
      </w:r>
    </w:p>
    <w:p w14:paraId="1C738821" w14:textId="77777777" w:rsidR="00040D0C" w:rsidRPr="00040D0C" w:rsidRDefault="00040D0C" w:rsidP="00494AFA">
      <w:pPr>
        <w:jc w:val="both"/>
        <w:textAlignment w:val="baseline"/>
        <w:rPr>
          <w:rFonts w:asciiTheme="minorHAnsi" w:hAnsiTheme="minorHAnsi" w:cstheme="minorHAnsi"/>
          <w:lang w:val="fr-FR"/>
        </w:rPr>
      </w:pPr>
    </w:p>
    <w:p w14:paraId="6BEB7D79" w14:textId="77777777" w:rsidR="00F90D60" w:rsidRDefault="00F90D60" w:rsidP="00F90D60">
      <w:pPr>
        <w:jc w:val="both"/>
        <w:textAlignment w:val="baseline"/>
        <w:rPr>
          <w:rFonts w:asciiTheme="minorHAnsi" w:hAnsiTheme="minorHAnsi" w:cstheme="minorHAnsi"/>
          <w:b/>
          <w:bCs/>
          <w:i/>
          <w:iCs/>
          <w:u w:val="single"/>
          <w:lang w:val="fr-FR"/>
        </w:rPr>
      </w:pPr>
      <w:r>
        <w:rPr>
          <w:rFonts w:asciiTheme="minorHAnsi" w:hAnsiTheme="minorHAnsi" w:cstheme="minorHAnsi"/>
          <w:b/>
          <w:bCs/>
          <w:i/>
          <w:iCs/>
          <w:u w:val="single"/>
          <w:lang w:val="fr-FR"/>
        </w:rPr>
        <w:t>Wash :</w:t>
      </w:r>
    </w:p>
    <w:p w14:paraId="44398D08" w14:textId="77777777" w:rsidR="00F90D60" w:rsidRPr="00DE2682" w:rsidRDefault="00F90D60" w:rsidP="00F90D60">
      <w:pPr>
        <w:tabs>
          <w:tab w:val="left" w:pos="7260"/>
        </w:tabs>
        <w:jc w:val="both"/>
        <w:rPr>
          <w:rFonts w:asciiTheme="minorHAnsi" w:hAnsiTheme="minorHAnsi" w:cstheme="minorHAnsi"/>
          <w:lang w:val="fr-FR"/>
        </w:rPr>
      </w:pPr>
    </w:p>
    <w:p w14:paraId="6EE45255" w14:textId="77777777" w:rsidR="00F90D60" w:rsidRPr="00DE2682" w:rsidRDefault="00F90D60" w:rsidP="00F90D60">
      <w:pPr>
        <w:tabs>
          <w:tab w:val="left" w:pos="7260"/>
        </w:tabs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S’installant dans une zone sans aucune infrastructure sociale, les personnes en mouvement se trouvent obliger de déféquer à l’air libre et encourent le danger de contracter des maladies hydriques.</w:t>
      </w:r>
    </w:p>
    <w:p w14:paraId="1143D0A0" w14:textId="77777777" w:rsidR="00F90D60" w:rsidRDefault="00F90D60" w:rsidP="00494AFA">
      <w:pPr>
        <w:jc w:val="both"/>
        <w:textAlignment w:val="baseline"/>
        <w:rPr>
          <w:rFonts w:asciiTheme="minorHAnsi" w:hAnsiTheme="minorHAnsi" w:cstheme="minorHAnsi"/>
          <w:b/>
          <w:bCs/>
          <w:i/>
          <w:iCs/>
          <w:u w:val="single"/>
          <w:lang w:val="fr-FR"/>
        </w:rPr>
      </w:pPr>
    </w:p>
    <w:p w14:paraId="73F36A5C" w14:textId="77777777" w:rsidR="00F90D60" w:rsidRDefault="00F90D60" w:rsidP="00494AFA">
      <w:pPr>
        <w:jc w:val="both"/>
        <w:textAlignment w:val="baseline"/>
        <w:rPr>
          <w:rFonts w:asciiTheme="minorHAnsi" w:hAnsiTheme="minorHAnsi" w:cstheme="minorHAnsi"/>
          <w:b/>
          <w:bCs/>
          <w:i/>
          <w:iCs/>
          <w:u w:val="single"/>
          <w:lang w:val="fr-FR"/>
        </w:rPr>
      </w:pPr>
    </w:p>
    <w:p w14:paraId="40054E41" w14:textId="77777777" w:rsidR="00F90D60" w:rsidRDefault="00F90D60" w:rsidP="00494AFA">
      <w:pPr>
        <w:jc w:val="both"/>
        <w:textAlignment w:val="baseline"/>
        <w:rPr>
          <w:rFonts w:asciiTheme="minorHAnsi" w:hAnsiTheme="minorHAnsi" w:cstheme="minorHAnsi"/>
          <w:b/>
          <w:bCs/>
          <w:i/>
          <w:iCs/>
          <w:u w:val="single"/>
          <w:lang w:val="fr-FR"/>
        </w:rPr>
      </w:pPr>
    </w:p>
    <w:p w14:paraId="2BA30227" w14:textId="77777777" w:rsidR="00F90D60" w:rsidRDefault="00F90D60" w:rsidP="00494AFA">
      <w:pPr>
        <w:jc w:val="both"/>
        <w:textAlignment w:val="baseline"/>
        <w:rPr>
          <w:rFonts w:asciiTheme="minorHAnsi" w:hAnsiTheme="minorHAnsi" w:cstheme="minorHAnsi"/>
          <w:b/>
          <w:bCs/>
          <w:i/>
          <w:iCs/>
          <w:u w:val="single"/>
          <w:lang w:val="fr-FR"/>
        </w:rPr>
      </w:pPr>
    </w:p>
    <w:p w14:paraId="5A8CA5B7" w14:textId="2697E117" w:rsidR="00C70521" w:rsidRDefault="00C70521" w:rsidP="00494AFA">
      <w:pPr>
        <w:jc w:val="both"/>
        <w:textAlignment w:val="baseline"/>
        <w:rPr>
          <w:rFonts w:asciiTheme="minorHAnsi" w:hAnsiTheme="minorHAnsi" w:cstheme="minorHAnsi"/>
          <w:b/>
          <w:bCs/>
          <w:i/>
          <w:iCs/>
          <w:u w:val="single"/>
          <w:lang w:val="fr-FR"/>
        </w:rPr>
      </w:pPr>
      <w:r>
        <w:rPr>
          <w:rFonts w:asciiTheme="minorHAnsi" w:hAnsiTheme="minorHAnsi" w:cstheme="minorHAnsi"/>
          <w:b/>
          <w:bCs/>
          <w:i/>
          <w:iCs/>
          <w:u w:val="single"/>
          <w:lang w:val="fr-FR"/>
        </w:rPr>
        <w:lastRenderedPageBreak/>
        <w:t>Sant</w:t>
      </w:r>
      <w:r w:rsidRPr="00C70521">
        <w:rPr>
          <w:rFonts w:asciiTheme="minorHAnsi" w:hAnsiTheme="minorHAnsi" w:cstheme="minorHAnsi"/>
          <w:b/>
          <w:i/>
          <w:iCs/>
          <w:u w:val="single"/>
          <w:lang w:val="fr-FR"/>
        </w:rPr>
        <w:t>é</w:t>
      </w:r>
      <w:r>
        <w:rPr>
          <w:rFonts w:asciiTheme="minorHAnsi" w:hAnsiTheme="minorHAnsi" w:cstheme="minorHAnsi"/>
          <w:b/>
          <w:bCs/>
          <w:i/>
          <w:iCs/>
          <w:u w:val="single"/>
          <w:lang w:val="fr-FR"/>
        </w:rPr>
        <w:t> :</w:t>
      </w:r>
    </w:p>
    <w:p w14:paraId="26BAA01B" w14:textId="77777777" w:rsidR="00C70521" w:rsidRPr="00C70521" w:rsidRDefault="00C70521" w:rsidP="00494AFA">
      <w:pPr>
        <w:jc w:val="both"/>
        <w:textAlignment w:val="baseline"/>
        <w:rPr>
          <w:rFonts w:asciiTheme="minorHAnsi" w:hAnsiTheme="minorHAnsi" w:cstheme="minorHAnsi"/>
          <w:lang w:val="fr-FR"/>
        </w:rPr>
      </w:pPr>
    </w:p>
    <w:p w14:paraId="4C41E454" w14:textId="02E9BC99" w:rsidR="00C70521" w:rsidRPr="001E3FCC" w:rsidRDefault="00C70521" w:rsidP="00A5225B">
      <w:pPr>
        <w:tabs>
          <w:tab w:val="left" w:pos="7260"/>
        </w:tabs>
        <w:jc w:val="both"/>
        <w:rPr>
          <w:rFonts w:asciiTheme="minorHAnsi" w:hAnsiTheme="minorHAnsi" w:cstheme="minorHAnsi"/>
          <w:lang w:val="fr-FR"/>
        </w:rPr>
      </w:pPr>
      <w:r w:rsidRPr="001E3FCC">
        <w:rPr>
          <w:rFonts w:asciiTheme="minorHAnsi" w:hAnsiTheme="minorHAnsi" w:cstheme="minorHAnsi"/>
          <w:lang w:val="fr-FR"/>
        </w:rPr>
        <w:t>L’équipe mobile de APBE sur place a constaté des complications sanitaires pour certaines personnes en déplacement :</w:t>
      </w:r>
    </w:p>
    <w:p w14:paraId="04AF1E29" w14:textId="09013055" w:rsidR="00C70521" w:rsidRPr="001E3FCC" w:rsidRDefault="00C70521" w:rsidP="00C70521">
      <w:pPr>
        <w:pStyle w:val="Paragraphedeliste"/>
        <w:numPr>
          <w:ilvl w:val="0"/>
          <w:numId w:val="7"/>
        </w:numPr>
        <w:tabs>
          <w:tab w:val="left" w:pos="72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E3FCC">
        <w:rPr>
          <w:rFonts w:asciiTheme="minorHAnsi" w:hAnsiTheme="minorHAnsi" w:cstheme="minorHAnsi"/>
          <w:sz w:val="22"/>
          <w:szCs w:val="22"/>
        </w:rPr>
        <w:t xml:space="preserve">Les femmes enceintes qui ont voyagé dans des conditions non conformes </w:t>
      </w:r>
      <w:r w:rsidR="00DE2682" w:rsidRPr="001E3FCC">
        <w:rPr>
          <w:rFonts w:asciiTheme="minorHAnsi" w:hAnsiTheme="minorHAnsi" w:cstheme="minorHAnsi"/>
          <w:sz w:val="22"/>
          <w:szCs w:val="22"/>
        </w:rPr>
        <w:t>à</w:t>
      </w:r>
      <w:r w:rsidRPr="001E3FCC">
        <w:rPr>
          <w:rFonts w:asciiTheme="minorHAnsi" w:hAnsiTheme="minorHAnsi" w:cstheme="minorHAnsi"/>
          <w:sz w:val="22"/>
          <w:szCs w:val="22"/>
        </w:rPr>
        <w:t xml:space="preserve"> leurs états ;</w:t>
      </w:r>
    </w:p>
    <w:p w14:paraId="73EA84F8" w14:textId="3B7E7325" w:rsidR="00DE2682" w:rsidRPr="001E3FCC" w:rsidRDefault="00C70521" w:rsidP="00C70521">
      <w:pPr>
        <w:pStyle w:val="Paragraphedeliste"/>
        <w:numPr>
          <w:ilvl w:val="0"/>
          <w:numId w:val="7"/>
        </w:numPr>
        <w:tabs>
          <w:tab w:val="left" w:pos="72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E3FCC">
        <w:rPr>
          <w:rFonts w:asciiTheme="minorHAnsi" w:hAnsiTheme="minorHAnsi" w:cstheme="minorHAnsi"/>
          <w:sz w:val="22"/>
          <w:szCs w:val="22"/>
        </w:rPr>
        <w:t>La prolifération de</w:t>
      </w:r>
      <w:r w:rsidR="00DE2682" w:rsidRPr="001E3FCC">
        <w:rPr>
          <w:rFonts w:asciiTheme="minorHAnsi" w:hAnsiTheme="minorHAnsi" w:cstheme="minorHAnsi"/>
          <w:sz w:val="22"/>
          <w:szCs w:val="22"/>
        </w:rPr>
        <w:t>s infections</w:t>
      </w:r>
      <w:r w:rsidRPr="001E3FCC">
        <w:rPr>
          <w:rFonts w:asciiTheme="minorHAnsi" w:hAnsiTheme="minorHAnsi" w:cstheme="minorHAnsi"/>
          <w:sz w:val="22"/>
          <w:szCs w:val="22"/>
        </w:rPr>
        <w:t xml:space="preserve"> dermatologique</w:t>
      </w:r>
      <w:r w:rsidR="00DE2682" w:rsidRPr="001E3FCC">
        <w:rPr>
          <w:rFonts w:asciiTheme="minorHAnsi" w:hAnsiTheme="minorHAnsi" w:cstheme="minorHAnsi"/>
          <w:sz w:val="22"/>
          <w:szCs w:val="22"/>
        </w:rPr>
        <w:t>s</w:t>
      </w:r>
      <w:r w:rsidRPr="001E3FCC">
        <w:rPr>
          <w:rFonts w:asciiTheme="minorHAnsi" w:hAnsiTheme="minorHAnsi" w:cstheme="minorHAnsi"/>
          <w:sz w:val="22"/>
          <w:szCs w:val="22"/>
        </w:rPr>
        <w:t xml:space="preserve"> par manque d’hygiène au niveau du site</w:t>
      </w:r>
      <w:r w:rsidR="00DE2682" w:rsidRPr="001E3FCC">
        <w:rPr>
          <w:rFonts w:asciiTheme="minorHAnsi" w:hAnsiTheme="minorHAnsi" w:cstheme="minorHAnsi"/>
          <w:sz w:val="22"/>
          <w:szCs w:val="22"/>
        </w:rPr>
        <w:t> ;</w:t>
      </w:r>
    </w:p>
    <w:p w14:paraId="1B8E1036" w14:textId="77777777" w:rsidR="00DE2682" w:rsidRPr="001E3FCC" w:rsidRDefault="00DE2682" w:rsidP="00C70521">
      <w:pPr>
        <w:pStyle w:val="Paragraphedeliste"/>
        <w:numPr>
          <w:ilvl w:val="0"/>
          <w:numId w:val="7"/>
        </w:numPr>
        <w:tabs>
          <w:tab w:val="left" w:pos="72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E3FCC">
        <w:rPr>
          <w:rFonts w:asciiTheme="minorHAnsi" w:hAnsiTheme="minorHAnsi" w:cstheme="minorHAnsi"/>
          <w:sz w:val="22"/>
          <w:szCs w:val="22"/>
        </w:rPr>
        <w:t>L</w:t>
      </w:r>
      <w:r w:rsidR="00C70521" w:rsidRPr="001E3FCC">
        <w:rPr>
          <w:rFonts w:asciiTheme="minorHAnsi" w:hAnsiTheme="minorHAnsi" w:cstheme="minorHAnsi"/>
          <w:sz w:val="22"/>
          <w:szCs w:val="22"/>
        </w:rPr>
        <w:t xml:space="preserve">e manque de </w:t>
      </w:r>
      <w:r w:rsidRPr="001E3FCC">
        <w:rPr>
          <w:rFonts w:asciiTheme="minorHAnsi" w:hAnsiTheme="minorHAnsi" w:cstheme="minorHAnsi"/>
          <w:sz w:val="22"/>
          <w:szCs w:val="22"/>
        </w:rPr>
        <w:t>confidentialité dans le traitement des malades pour une consultation médicale à l’air libre ;</w:t>
      </w:r>
    </w:p>
    <w:p w14:paraId="674C648B" w14:textId="45BC0684" w:rsidR="00A5225B" w:rsidRDefault="00DE2682" w:rsidP="00C70521">
      <w:pPr>
        <w:pStyle w:val="Paragraphedeliste"/>
        <w:numPr>
          <w:ilvl w:val="0"/>
          <w:numId w:val="7"/>
        </w:numPr>
        <w:tabs>
          <w:tab w:val="left" w:pos="72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E3FCC">
        <w:rPr>
          <w:rFonts w:asciiTheme="minorHAnsi" w:hAnsiTheme="minorHAnsi" w:cstheme="minorHAnsi"/>
          <w:sz w:val="22"/>
          <w:szCs w:val="22"/>
        </w:rPr>
        <w:t>L’irrégularité de dépistage des enfants en malnutrition</w:t>
      </w:r>
      <w:r w:rsidR="00F90D60">
        <w:rPr>
          <w:rFonts w:asciiTheme="minorHAnsi" w:hAnsiTheme="minorHAnsi" w:cstheme="minorHAnsi"/>
          <w:sz w:val="22"/>
          <w:szCs w:val="22"/>
        </w:rPr>
        <w:t>.</w:t>
      </w:r>
    </w:p>
    <w:p w14:paraId="6B0FB469" w14:textId="71FF9BD1" w:rsidR="00F90D60" w:rsidRPr="00F90D60" w:rsidRDefault="00F90D60" w:rsidP="00F90D60">
      <w:pPr>
        <w:tabs>
          <w:tab w:val="left" w:pos="7260"/>
        </w:tabs>
        <w:jc w:val="both"/>
        <w:rPr>
          <w:rFonts w:asciiTheme="minorHAnsi" w:hAnsiTheme="minorHAnsi" w:cstheme="minorHAnsi"/>
          <w:lang w:val="fr-FR"/>
        </w:rPr>
      </w:pPr>
    </w:p>
    <w:p w14:paraId="760986AD" w14:textId="665D7D45" w:rsidR="00F90D60" w:rsidRPr="00F90D60" w:rsidRDefault="00F90D60" w:rsidP="00F90D60">
      <w:pPr>
        <w:tabs>
          <w:tab w:val="left" w:pos="7260"/>
        </w:tabs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54C74552" wp14:editId="2D549F9E">
            <wp:extent cx="5731510" cy="429514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4268" w14:textId="1C94B796" w:rsidR="00F90D60" w:rsidRDefault="00F90D60" w:rsidP="00F90D60">
      <w:pPr>
        <w:tabs>
          <w:tab w:val="left" w:pos="7260"/>
        </w:tabs>
        <w:jc w:val="center"/>
        <w:rPr>
          <w:rFonts w:asciiTheme="minorHAnsi" w:hAnsiTheme="minorHAnsi" w:cstheme="minorHAnsi"/>
          <w:i/>
          <w:iCs/>
          <w:color w:val="4472C4" w:themeColor="accent1"/>
          <w:lang w:val="fr-FR"/>
        </w:rPr>
      </w:pPr>
      <w:r>
        <w:rPr>
          <w:rFonts w:asciiTheme="minorHAnsi" w:hAnsiTheme="minorHAnsi" w:cstheme="minorHAnsi"/>
          <w:i/>
          <w:iCs/>
          <w:color w:val="4472C4" w:themeColor="accent1"/>
          <w:lang w:val="fr-FR"/>
        </w:rPr>
        <w:t xml:space="preserve">Consultation médicale au niveau de la clinique mobile - </w:t>
      </w:r>
      <w:proofErr w:type="spellStart"/>
      <w:r>
        <w:rPr>
          <w:rFonts w:asciiTheme="minorHAnsi" w:hAnsiTheme="minorHAnsi" w:cstheme="minorHAnsi"/>
          <w:i/>
          <w:iCs/>
          <w:color w:val="4472C4" w:themeColor="accent1"/>
          <w:lang w:val="fr-FR"/>
        </w:rPr>
        <w:t>Telemces</w:t>
      </w:r>
      <w:proofErr w:type="spellEnd"/>
    </w:p>
    <w:p w14:paraId="1D2CCC6F" w14:textId="079E2193" w:rsidR="00DE2682" w:rsidRPr="00F90D60" w:rsidRDefault="00DE2682" w:rsidP="00DE2682">
      <w:pPr>
        <w:tabs>
          <w:tab w:val="left" w:pos="7260"/>
        </w:tabs>
        <w:jc w:val="both"/>
        <w:rPr>
          <w:rFonts w:asciiTheme="minorHAnsi" w:hAnsiTheme="minorHAnsi" w:cstheme="minorHAnsi"/>
          <w:lang w:val="fr-FR"/>
        </w:rPr>
      </w:pPr>
    </w:p>
    <w:p w14:paraId="53D2D10D" w14:textId="77777777" w:rsidR="00F90D60" w:rsidRDefault="00F90D60" w:rsidP="00704982">
      <w:pPr>
        <w:tabs>
          <w:tab w:val="left" w:pos="7260"/>
        </w:tabs>
        <w:jc w:val="both"/>
        <w:rPr>
          <w:rFonts w:asciiTheme="minorHAnsi" w:hAnsiTheme="minorHAnsi" w:cstheme="minorHAnsi"/>
          <w:b/>
          <w:bCs/>
          <w:color w:val="4472C4" w:themeColor="accent1"/>
          <w:lang w:val="fr-FR"/>
        </w:rPr>
      </w:pPr>
    </w:p>
    <w:p w14:paraId="7309F471" w14:textId="47C4613A" w:rsidR="00704982" w:rsidRPr="00702D0A" w:rsidRDefault="00704982" w:rsidP="00704982">
      <w:pPr>
        <w:tabs>
          <w:tab w:val="left" w:pos="7260"/>
        </w:tabs>
        <w:jc w:val="both"/>
        <w:rPr>
          <w:rFonts w:asciiTheme="minorHAnsi" w:hAnsiTheme="minorHAnsi" w:cstheme="minorHAnsi"/>
          <w:b/>
          <w:bCs/>
          <w:color w:val="4472C4" w:themeColor="accent1"/>
          <w:lang w:val="fr-FR"/>
        </w:rPr>
      </w:pPr>
      <w:r>
        <w:rPr>
          <w:rFonts w:asciiTheme="minorHAnsi" w:hAnsiTheme="minorHAnsi" w:cstheme="minorHAnsi"/>
          <w:b/>
          <w:bCs/>
          <w:color w:val="4472C4" w:themeColor="accent1"/>
          <w:lang w:val="fr-FR"/>
        </w:rPr>
        <w:t>Perspectives</w:t>
      </w:r>
    </w:p>
    <w:p w14:paraId="68D08567" w14:textId="3953189C" w:rsidR="00704982" w:rsidRDefault="00704982" w:rsidP="00D8299C">
      <w:pPr>
        <w:tabs>
          <w:tab w:val="left" w:pos="7260"/>
        </w:tabs>
        <w:jc w:val="both"/>
        <w:rPr>
          <w:rFonts w:asciiTheme="minorHAnsi" w:hAnsiTheme="minorHAnsi" w:cstheme="minorHAnsi"/>
          <w:lang w:val="fr-FR"/>
        </w:rPr>
      </w:pPr>
    </w:p>
    <w:p w14:paraId="24E250B0" w14:textId="0DA60401" w:rsidR="00704982" w:rsidRDefault="007734C2" w:rsidP="00D8299C">
      <w:pPr>
        <w:tabs>
          <w:tab w:val="left" w:pos="7260"/>
        </w:tabs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Le retour de la population en mouvement vers la ZAR </w:t>
      </w:r>
      <w:proofErr w:type="spellStart"/>
      <w:r w:rsidR="00F90D60">
        <w:rPr>
          <w:rFonts w:asciiTheme="minorHAnsi" w:hAnsiTheme="minorHAnsi" w:cstheme="minorHAnsi"/>
          <w:lang w:val="fr-FR"/>
        </w:rPr>
        <w:t>Intikane</w:t>
      </w:r>
      <w:proofErr w:type="spellEnd"/>
      <w:r w:rsidR="00F90D60">
        <w:rPr>
          <w:rFonts w:asciiTheme="minorHAnsi" w:hAnsiTheme="minorHAnsi" w:cstheme="minorHAnsi"/>
          <w:lang w:val="fr-FR"/>
        </w:rPr>
        <w:t xml:space="preserve"> </w:t>
      </w:r>
      <w:r>
        <w:rPr>
          <w:rFonts w:asciiTheme="minorHAnsi" w:hAnsiTheme="minorHAnsi" w:cstheme="minorHAnsi"/>
          <w:lang w:val="fr-FR"/>
        </w:rPr>
        <w:t xml:space="preserve">est </w:t>
      </w:r>
      <w:r w:rsidR="00F90D60">
        <w:rPr>
          <w:rFonts w:asciiTheme="minorHAnsi" w:hAnsiTheme="minorHAnsi" w:cstheme="minorHAnsi"/>
          <w:lang w:val="fr-FR"/>
        </w:rPr>
        <w:t>plus que</w:t>
      </w:r>
      <w:r>
        <w:rPr>
          <w:rFonts w:asciiTheme="minorHAnsi" w:hAnsiTheme="minorHAnsi" w:cstheme="minorHAnsi"/>
          <w:lang w:val="fr-FR"/>
        </w:rPr>
        <w:t xml:space="preserve"> d’actualité, sous l’unique condition sécuritaire tant attendue des hautes autorités du Niger.</w:t>
      </w:r>
    </w:p>
    <w:p w14:paraId="29568E97" w14:textId="78A8ED1A" w:rsidR="00704982" w:rsidRDefault="00704982" w:rsidP="00D8299C">
      <w:pPr>
        <w:tabs>
          <w:tab w:val="left" w:pos="7260"/>
        </w:tabs>
        <w:jc w:val="both"/>
        <w:rPr>
          <w:rFonts w:asciiTheme="minorHAnsi" w:hAnsiTheme="minorHAnsi" w:cstheme="minorHAnsi"/>
          <w:lang w:val="fr-FR"/>
        </w:rPr>
      </w:pPr>
    </w:p>
    <w:p w14:paraId="01CCF512" w14:textId="2EE25868" w:rsidR="00704982" w:rsidRDefault="00704982" w:rsidP="00D8299C">
      <w:pPr>
        <w:tabs>
          <w:tab w:val="left" w:pos="7260"/>
        </w:tabs>
        <w:jc w:val="both"/>
        <w:rPr>
          <w:rFonts w:asciiTheme="minorHAnsi" w:hAnsiTheme="minorHAnsi" w:cstheme="minorHAnsi"/>
          <w:lang w:val="fr-FR"/>
        </w:rPr>
      </w:pPr>
    </w:p>
    <w:p w14:paraId="3C664F59" w14:textId="3BFED157" w:rsidR="00704982" w:rsidRDefault="00704982" w:rsidP="00D8299C">
      <w:pPr>
        <w:tabs>
          <w:tab w:val="left" w:pos="7260"/>
        </w:tabs>
        <w:jc w:val="both"/>
        <w:rPr>
          <w:rFonts w:asciiTheme="minorHAnsi" w:hAnsiTheme="minorHAnsi" w:cstheme="minorHAnsi"/>
          <w:lang w:val="fr-FR"/>
        </w:rPr>
      </w:pPr>
    </w:p>
    <w:p w14:paraId="39B1BF70" w14:textId="77777777" w:rsidR="00704982" w:rsidRPr="00702D0A" w:rsidRDefault="00704982" w:rsidP="00D8299C">
      <w:pPr>
        <w:tabs>
          <w:tab w:val="left" w:pos="7260"/>
        </w:tabs>
        <w:jc w:val="both"/>
        <w:rPr>
          <w:rFonts w:asciiTheme="minorHAnsi" w:hAnsiTheme="minorHAnsi" w:cstheme="minorHAnsi"/>
          <w:lang w:val="fr-FR"/>
        </w:rPr>
      </w:pPr>
    </w:p>
    <w:p w14:paraId="1CBAA20A" w14:textId="1ECEAC55" w:rsidR="00D8299C" w:rsidRDefault="00D8299C" w:rsidP="00D8299C">
      <w:pPr>
        <w:tabs>
          <w:tab w:val="left" w:pos="7260"/>
        </w:tabs>
        <w:jc w:val="right"/>
        <w:rPr>
          <w:rFonts w:asciiTheme="minorHAnsi" w:hAnsiTheme="minorHAnsi" w:cstheme="minorHAnsi"/>
          <w:b/>
          <w:bCs/>
          <w:color w:val="4472C4" w:themeColor="accent1"/>
          <w:lang w:val="fr-FR"/>
        </w:rPr>
      </w:pPr>
      <w:r w:rsidRPr="00702D0A">
        <w:rPr>
          <w:rFonts w:asciiTheme="minorHAnsi" w:hAnsiTheme="minorHAnsi" w:cstheme="minorHAnsi"/>
          <w:b/>
          <w:bCs/>
          <w:color w:val="4472C4" w:themeColor="accent1"/>
          <w:lang w:val="fr-FR"/>
        </w:rPr>
        <w:t>Fait à Tahoua, ce 0</w:t>
      </w:r>
      <w:r w:rsidR="007734C2">
        <w:rPr>
          <w:rFonts w:asciiTheme="minorHAnsi" w:hAnsiTheme="minorHAnsi" w:cstheme="minorHAnsi"/>
          <w:b/>
          <w:bCs/>
          <w:color w:val="4472C4" w:themeColor="accent1"/>
          <w:lang w:val="fr-FR"/>
        </w:rPr>
        <w:t>9</w:t>
      </w:r>
      <w:r w:rsidRPr="00702D0A">
        <w:rPr>
          <w:rFonts w:asciiTheme="minorHAnsi" w:hAnsiTheme="minorHAnsi" w:cstheme="minorHAnsi"/>
          <w:b/>
          <w:bCs/>
          <w:color w:val="4472C4" w:themeColor="accent1"/>
          <w:lang w:val="fr-FR"/>
        </w:rPr>
        <w:t xml:space="preserve"> juin 2020</w:t>
      </w:r>
    </w:p>
    <w:p w14:paraId="33184108" w14:textId="77777777" w:rsidR="008A2FC8" w:rsidRDefault="008A2FC8" w:rsidP="00D8299C">
      <w:pPr>
        <w:tabs>
          <w:tab w:val="left" w:pos="7260"/>
        </w:tabs>
        <w:jc w:val="right"/>
        <w:rPr>
          <w:rFonts w:asciiTheme="minorHAnsi" w:hAnsiTheme="minorHAnsi" w:cstheme="minorHAnsi"/>
          <w:b/>
          <w:bCs/>
          <w:color w:val="4472C4" w:themeColor="accent1"/>
          <w:lang w:val="fr-FR"/>
        </w:rPr>
      </w:pPr>
    </w:p>
    <w:p w14:paraId="573332F2" w14:textId="68C3312C" w:rsidR="00CE25D7" w:rsidRPr="00BA0B3B" w:rsidRDefault="00CE25D7" w:rsidP="00D8299C">
      <w:pPr>
        <w:tabs>
          <w:tab w:val="left" w:pos="7260"/>
        </w:tabs>
        <w:jc w:val="right"/>
        <w:rPr>
          <w:rFonts w:asciiTheme="minorHAnsi" w:hAnsiTheme="minorHAnsi" w:cstheme="minorHAnsi"/>
          <w:b/>
          <w:bCs/>
          <w:color w:val="4472C4" w:themeColor="accent1"/>
          <w:lang w:val="en-US"/>
        </w:rPr>
      </w:pPr>
      <w:r w:rsidRPr="00BA0B3B">
        <w:rPr>
          <w:rFonts w:asciiTheme="minorHAnsi" w:hAnsiTheme="minorHAnsi" w:cstheme="minorHAnsi"/>
          <w:b/>
          <w:bCs/>
          <w:color w:val="4472C4" w:themeColor="accent1"/>
          <w:lang w:val="en-US"/>
        </w:rPr>
        <w:t>Yvette RAVAOSOLONIRINA</w:t>
      </w:r>
    </w:p>
    <w:p w14:paraId="2342656A" w14:textId="4483A5C6" w:rsidR="00CE25D7" w:rsidRPr="00BA0B3B" w:rsidRDefault="00CE25D7" w:rsidP="00D8299C">
      <w:pPr>
        <w:tabs>
          <w:tab w:val="left" w:pos="7260"/>
        </w:tabs>
        <w:jc w:val="right"/>
        <w:rPr>
          <w:rFonts w:asciiTheme="minorHAnsi" w:hAnsiTheme="minorHAnsi" w:cstheme="minorHAnsi"/>
          <w:b/>
          <w:bCs/>
          <w:color w:val="4472C4" w:themeColor="accent1"/>
          <w:lang w:val="en-US"/>
        </w:rPr>
      </w:pPr>
      <w:r w:rsidRPr="00BA0B3B">
        <w:rPr>
          <w:rFonts w:asciiTheme="minorHAnsi" w:hAnsiTheme="minorHAnsi" w:cstheme="minorHAnsi"/>
          <w:b/>
          <w:bCs/>
          <w:color w:val="4472C4" w:themeColor="accent1"/>
          <w:lang w:val="en-US"/>
        </w:rPr>
        <w:t xml:space="preserve">Associate Field Officer – UNHCR </w:t>
      </w:r>
      <w:proofErr w:type="spellStart"/>
      <w:r w:rsidRPr="00BA0B3B">
        <w:rPr>
          <w:rFonts w:asciiTheme="minorHAnsi" w:hAnsiTheme="minorHAnsi" w:cstheme="minorHAnsi"/>
          <w:b/>
          <w:bCs/>
          <w:color w:val="4472C4" w:themeColor="accent1"/>
          <w:lang w:val="en-US"/>
        </w:rPr>
        <w:t>Tahoua</w:t>
      </w:r>
      <w:proofErr w:type="spellEnd"/>
    </w:p>
    <w:p w14:paraId="097B7CEB" w14:textId="77777777" w:rsidR="008A2FC8" w:rsidRPr="00BA0B3B" w:rsidRDefault="008A2FC8" w:rsidP="00D8299C">
      <w:pPr>
        <w:tabs>
          <w:tab w:val="left" w:pos="7260"/>
        </w:tabs>
        <w:jc w:val="right"/>
        <w:rPr>
          <w:rFonts w:asciiTheme="minorHAnsi" w:hAnsiTheme="minorHAnsi" w:cstheme="minorHAnsi"/>
          <w:b/>
          <w:bCs/>
          <w:color w:val="4472C4" w:themeColor="accent1"/>
          <w:lang w:val="en-US"/>
        </w:rPr>
      </w:pPr>
    </w:p>
    <w:sectPr w:rsidR="008A2FC8" w:rsidRPr="00BA0B3B" w:rsidSect="00D31FE5">
      <w:headerReference w:type="default" r:id="rId10"/>
      <w:footerReference w:type="default" r:id="rId11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DE688" w14:textId="77777777" w:rsidR="00D74012" w:rsidRDefault="00D74012">
      <w:r>
        <w:separator/>
      </w:r>
    </w:p>
  </w:endnote>
  <w:endnote w:type="continuationSeparator" w:id="0">
    <w:p w14:paraId="64D10415" w14:textId="77777777" w:rsidR="00D74012" w:rsidRDefault="00D7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072"/>
      <w:gridCol w:w="1134"/>
    </w:tblGrid>
    <w:tr w:rsidR="007734C2" w:rsidRPr="009A4D93" w14:paraId="57CA9186" w14:textId="77777777" w:rsidTr="00D31FE5">
      <w:trPr>
        <w:trHeight w:hRule="exact" w:val="85"/>
      </w:trPr>
      <w:tc>
        <w:tcPr>
          <w:tcW w:w="10206" w:type="dxa"/>
          <w:gridSpan w:val="2"/>
          <w:tcBorders>
            <w:top w:val="single" w:sz="4" w:space="0" w:color="4472C4" w:themeColor="accent1"/>
          </w:tcBorders>
        </w:tcPr>
        <w:p w14:paraId="5B8D5389" w14:textId="77777777" w:rsidR="007734C2" w:rsidRPr="003F2966" w:rsidRDefault="007734C2" w:rsidP="00D31FE5">
          <w:pPr>
            <w:rPr>
              <w:lang w:val="en-US"/>
            </w:rPr>
          </w:pPr>
        </w:p>
      </w:tc>
    </w:tr>
    <w:tr w:rsidR="007734C2" w14:paraId="5FE8B6F7" w14:textId="77777777" w:rsidTr="00D31FE5">
      <w:trPr>
        <w:trHeight w:val="240"/>
      </w:trPr>
      <w:tc>
        <w:tcPr>
          <w:tcW w:w="9072" w:type="dxa"/>
          <w:vAlign w:val="bottom"/>
        </w:tcPr>
        <w:p w14:paraId="113DAAF5" w14:textId="77777777" w:rsidR="007734C2" w:rsidRPr="007822E1" w:rsidRDefault="00D74012" w:rsidP="00D31FE5">
          <w:pPr>
            <w:pStyle w:val="Text-Maintext"/>
            <w:rPr>
              <w:b/>
              <w:lang w:val="en-GB"/>
            </w:rPr>
          </w:pPr>
          <w:hyperlink r:id="rId1" w:history="1">
            <w:r w:rsidR="007734C2" w:rsidRPr="007822E1">
              <w:rPr>
                <w:rStyle w:val="Lienhypertexte"/>
                <w:lang w:val="en-GB"/>
              </w:rPr>
              <w:t>www.unhcr.org</w:t>
            </w:r>
          </w:hyperlink>
          <w:hyperlink r:id="rId2" w:history="1">
            <w:r w:rsidR="007734C2">
              <w:rPr>
                <w:rStyle w:val="Lienhypertexte"/>
                <w:b/>
                <w:lang w:val="en-GB"/>
              </w:rPr>
              <w:t>Blog unhcrniger.tumblr.com</w:t>
            </w:r>
          </w:hyperlink>
        </w:p>
        <w:p w14:paraId="05D4345A" w14:textId="77777777" w:rsidR="007734C2" w:rsidRPr="007822E1" w:rsidRDefault="007734C2" w:rsidP="00D31FE5">
          <w:pPr>
            <w:pStyle w:val="Title-Footer"/>
            <w:framePr w:wrap="auto" w:vAnchor="margin" w:hAnchor="text" w:xAlign="left" w:yAlign="inline" w:anchorLock="1"/>
            <w:rPr>
              <w:lang w:val="en-GB"/>
            </w:rPr>
          </w:pPr>
        </w:p>
      </w:tc>
      <w:tc>
        <w:tcPr>
          <w:tcW w:w="1134" w:type="dxa"/>
          <w:vAlign w:val="bottom"/>
        </w:tcPr>
        <w:p w14:paraId="38E90EC7" w14:textId="77777777" w:rsidR="007734C2" w:rsidRPr="00C75B93" w:rsidRDefault="007734C2" w:rsidP="00D31FE5">
          <w:pPr>
            <w:pStyle w:val="Text-Footer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  <w:tr w:rsidR="007734C2" w14:paraId="4D4A71DC" w14:textId="77777777" w:rsidTr="00D31FE5">
      <w:trPr>
        <w:trHeight w:hRule="exact" w:val="641"/>
      </w:trPr>
      <w:tc>
        <w:tcPr>
          <w:tcW w:w="10206" w:type="dxa"/>
          <w:gridSpan w:val="2"/>
        </w:tcPr>
        <w:p w14:paraId="7DC0174A" w14:textId="77777777" w:rsidR="007734C2" w:rsidRPr="00C75B93" w:rsidRDefault="007734C2" w:rsidP="00D31FE5"/>
      </w:tc>
    </w:tr>
  </w:tbl>
  <w:p w14:paraId="3BFEE80D" w14:textId="77777777" w:rsidR="007734C2" w:rsidRDefault="007734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01F65" w14:textId="77777777" w:rsidR="00D74012" w:rsidRDefault="00D74012">
      <w:r>
        <w:separator/>
      </w:r>
    </w:p>
  </w:footnote>
  <w:footnote w:type="continuationSeparator" w:id="0">
    <w:p w14:paraId="478A4AD8" w14:textId="77777777" w:rsidR="00D74012" w:rsidRDefault="00D74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D388F" w14:textId="21E73538" w:rsidR="007734C2" w:rsidRDefault="007734C2" w:rsidP="00D31FE5">
    <w:pPr>
      <w:pStyle w:val="En-tte"/>
      <w:tabs>
        <w:tab w:val="clear" w:pos="4513"/>
        <w:tab w:val="clear" w:pos="9026"/>
        <w:tab w:val="center" w:pos="1543"/>
      </w:tabs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77DFC68C" wp14:editId="5ED0F2A7">
          <wp:simplePos x="0" y="0"/>
          <wp:positionH relativeFrom="page">
            <wp:posOffset>-361950</wp:posOffset>
          </wp:positionH>
          <wp:positionV relativeFrom="page">
            <wp:posOffset>57150</wp:posOffset>
          </wp:positionV>
          <wp:extent cx="8260080" cy="1440180"/>
          <wp:effectExtent l="0" t="0" r="762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008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0F9CC02" wp14:editId="5A142C50">
          <wp:simplePos x="0" y="0"/>
          <wp:positionH relativeFrom="page">
            <wp:posOffset>-518160</wp:posOffset>
          </wp:positionH>
          <wp:positionV relativeFrom="page">
            <wp:posOffset>-91440</wp:posOffset>
          </wp:positionV>
          <wp:extent cx="8260080" cy="1440180"/>
          <wp:effectExtent l="0" t="0" r="762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008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Calibri" w:hAnsi="Arial" w:cs="Arial"/>
        <w:b/>
        <w:caps/>
        <w:color w:val="5B9BD5"/>
        <w:sz w:val="32"/>
      </w:rPr>
      <w:tab/>
    </w:r>
    <w:r>
      <w:rPr>
        <w:rFonts w:ascii="Arial" w:eastAsia="Calibri" w:hAnsi="Arial" w:cs="Arial"/>
        <w:b/>
        <w:caps/>
        <w:color w:val="5B9BD5"/>
        <w:sz w:val="32"/>
      </w:rPr>
      <w:tab/>
    </w:r>
    <w:r>
      <w:rPr>
        <w:rFonts w:ascii="Arial" w:eastAsia="Calibri" w:hAnsi="Arial" w:cs="Arial"/>
        <w:b/>
        <w:caps/>
        <w:color w:val="5B9BD5"/>
        <w:sz w:val="32"/>
      </w:rPr>
      <w:tab/>
    </w:r>
    <w:r>
      <w:rPr>
        <w:rFonts w:ascii="Arial" w:eastAsia="Calibri" w:hAnsi="Arial" w:cs="Arial"/>
        <w:b/>
        <w:caps/>
        <w:color w:val="5B9BD5"/>
        <w:sz w:val="32"/>
      </w:rPr>
      <w:tab/>
    </w:r>
    <w:r>
      <w:rPr>
        <w:rFonts w:ascii="Arial" w:eastAsia="Calibri" w:hAnsi="Arial" w:cs="Arial"/>
        <w:b/>
        <w:caps/>
        <w:color w:val="5B9BD5"/>
        <w:sz w:val="32"/>
      </w:rPr>
      <w:tab/>
    </w:r>
    <w:r>
      <w:rPr>
        <w:rFonts w:ascii="Arial" w:eastAsia="Calibri" w:hAnsi="Arial" w:cs="Arial"/>
        <w:b/>
        <w:caps/>
        <w:color w:val="5B9BD5"/>
        <w:sz w:val="32"/>
      </w:rPr>
      <w:tab/>
    </w:r>
    <w:r>
      <w:rPr>
        <w:rFonts w:ascii="Arial" w:eastAsia="Calibri" w:hAnsi="Arial" w:cs="Arial"/>
        <w:b/>
        <w:caps/>
        <w:color w:val="5B9BD5"/>
        <w:sz w:val="32"/>
      </w:rPr>
      <w:tab/>
    </w:r>
    <w:r>
      <w:rPr>
        <w:rFonts w:ascii="Arial" w:eastAsia="Calibri" w:hAnsi="Arial" w:cs="Arial"/>
        <w:b/>
        <w:caps/>
        <w:color w:val="5B9BD5"/>
        <w:sz w:val="32"/>
      </w:rPr>
      <w:tab/>
      <w:t>FO TAHOUA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4E86"/>
    <w:multiLevelType w:val="hybridMultilevel"/>
    <w:tmpl w:val="B37E92BC"/>
    <w:lvl w:ilvl="0" w:tplc="101ECD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019E8"/>
    <w:multiLevelType w:val="hybridMultilevel"/>
    <w:tmpl w:val="DC38F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15E4B"/>
    <w:multiLevelType w:val="hybridMultilevel"/>
    <w:tmpl w:val="7A32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40292"/>
    <w:multiLevelType w:val="hybridMultilevel"/>
    <w:tmpl w:val="8A822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B6E78"/>
    <w:multiLevelType w:val="hybridMultilevel"/>
    <w:tmpl w:val="8F14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62801"/>
    <w:multiLevelType w:val="hybridMultilevel"/>
    <w:tmpl w:val="B5B6B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0457D"/>
    <w:multiLevelType w:val="hybridMultilevel"/>
    <w:tmpl w:val="2F120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2109"/>
    <w:multiLevelType w:val="hybridMultilevel"/>
    <w:tmpl w:val="D25C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9C"/>
    <w:rsid w:val="00040D0C"/>
    <w:rsid w:val="0013196E"/>
    <w:rsid w:val="001362CC"/>
    <w:rsid w:val="001E3FCC"/>
    <w:rsid w:val="00291843"/>
    <w:rsid w:val="002E64F2"/>
    <w:rsid w:val="002F7033"/>
    <w:rsid w:val="00372D57"/>
    <w:rsid w:val="0039297F"/>
    <w:rsid w:val="003B0950"/>
    <w:rsid w:val="003C1DF9"/>
    <w:rsid w:val="00475FBB"/>
    <w:rsid w:val="00494AFA"/>
    <w:rsid w:val="004A5C30"/>
    <w:rsid w:val="004F4F0C"/>
    <w:rsid w:val="00583C73"/>
    <w:rsid w:val="006D43ED"/>
    <w:rsid w:val="00704982"/>
    <w:rsid w:val="007734C2"/>
    <w:rsid w:val="007F7887"/>
    <w:rsid w:val="00874541"/>
    <w:rsid w:val="008A2FC8"/>
    <w:rsid w:val="008F3556"/>
    <w:rsid w:val="00A5225B"/>
    <w:rsid w:val="00B52DF2"/>
    <w:rsid w:val="00BA0B3B"/>
    <w:rsid w:val="00BE2850"/>
    <w:rsid w:val="00BF3F47"/>
    <w:rsid w:val="00C518DE"/>
    <w:rsid w:val="00C70521"/>
    <w:rsid w:val="00CD2E4F"/>
    <w:rsid w:val="00CE25D7"/>
    <w:rsid w:val="00D17C51"/>
    <w:rsid w:val="00D31FE5"/>
    <w:rsid w:val="00D74012"/>
    <w:rsid w:val="00D8299C"/>
    <w:rsid w:val="00DE2682"/>
    <w:rsid w:val="00DE416A"/>
    <w:rsid w:val="00E00D0B"/>
    <w:rsid w:val="00E33097"/>
    <w:rsid w:val="00F90D60"/>
    <w:rsid w:val="00FD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0433"/>
  <w15:chartTrackingRefBased/>
  <w15:docId w15:val="{FA98B3CA-DE75-4689-A860-3D902AA6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99C"/>
    <w:pPr>
      <w:spacing w:after="0" w:line="240" w:lineRule="auto"/>
    </w:pPr>
    <w:rPr>
      <w:rFonts w:ascii="Calibri" w:hAnsi="Calibri" w:cs="Calibri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299C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D8299C"/>
    <w:rPr>
      <w:rFonts w:ascii="Calibri" w:hAnsi="Calibri" w:cs="Calibri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D8299C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299C"/>
    <w:rPr>
      <w:rFonts w:ascii="Calibri" w:hAnsi="Calibri" w:cs="Calibri"/>
      <w:lang w:val="en-GB"/>
    </w:rPr>
  </w:style>
  <w:style w:type="character" w:styleId="Lienhypertexte">
    <w:name w:val="Hyperlink"/>
    <w:basedOn w:val="Policepardfaut"/>
    <w:uiPriority w:val="99"/>
    <w:unhideWhenUsed/>
    <w:rsid w:val="00D8299C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8299C"/>
    <w:pPr>
      <w:spacing w:after="0" w:line="240" w:lineRule="auto"/>
    </w:pPr>
    <w:rPr>
      <w:color w:val="000000" w:themeColor="text1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Footer">
    <w:name w:val="Title - Footer"/>
    <w:basedOn w:val="Normal"/>
    <w:qFormat/>
    <w:rsid w:val="00D8299C"/>
    <w:pPr>
      <w:framePr w:wrap="around" w:vAnchor="page" w:hAnchor="page" w:xAlign="center" w:yAlign="bottom"/>
      <w:spacing w:line="240" w:lineRule="atLeast"/>
    </w:pPr>
    <w:rPr>
      <w:rFonts w:asciiTheme="majorHAnsi" w:hAnsiTheme="majorHAnsi" w:cstheme="minorBidi"/>
      <w:color w:val="4472C4" w:themeColor="accent1"/>
      <w:lang w:val="fr-FR"/>
    </w:rPr>
  </w:style>
  <w:style w:type="paragraph" w:customStyle="1" w:styleId="Text-Footer">
    <w:name w:val="Text - Footer"/>
    <w:basedOn w:val="Normal"/>
    <w:qFormat/>
    <w:rsid w:val="00D8299C"/>
    <w:pPr>
      <w:spacing w:line="240" w:lineRule="atLeast"/>
      <w:jc w:val="right"/>
    </w:pPr>
    <w:rPr>
      <w:rFonts w:asciiTheme="minorHAnsi" w:hAnsiTheme="minorHAnsi" w:cstheme="minorBidi"/>
      <w:color w:val="4472C4" w:themeColor="accent1"/>
      <w:lang w:val="fr-FR"/>
    </w:rPr>
  </w:style>
  <w:style w:type="paragraph" w:customStyle="1" w:styleId="Text-Maintext">
    <w:name w:val="Text - Main text"/>
    <w:basedOn w:val="Normal"/>
    <w:qFormat/>
    <w:rsid w:val="00D8299C"/>
    <w:pPr>
      <w:spacing w:line="300" w:lineRule="atLeast"/>
    </w:pPr>
    <w:rPr>
      <w:rFonts w:asciiTheme="minorHAnsi" w:hAnsiTheme="minorHAnsi" w:cstheme="minorBidi"/>
      <w:color w:val="000000" w:themeColor="text1"/>
      <w:sz w:val="20"/>
      <w:lang w:val="fr-FR"/>
    </w:rPr>
  </w:style>
  <w:style w:type="paragraph" w:styleId="Paragraphedeliste">
    <w:name w:val="List Paragraph"/>
    <w:basedOn w:val="Normal"/>
    <w:link w:val="ParagraphedelisteCar"/>
    <w:uiPriority w:val="34"/>
    <w:qFormat/>
    <w:rsid w:val="00D8299C"/>
    <w:pPr>
      <w:ind w:left="708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8299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ansinterligne">
    <w:name w:val="No Spacing"/>
    <w:uiPriority w:val="1"/>
    <w:qFormat/>
    <w:rsid w:val="00D8299C"/>
    <w:pPr>
      <w:spacing w:after="0" w:line="240" w:lineRule="auto"/>
    </w:pPr>
    <w:rPr>
      <w:rFonts w:ascii="Calibri" w:hAnsi="Calibri" w:cs="Calibri"/>
      <w:lang w:val="en-GB"/>
    </w:rPr>
  </w:style>
  <w:style w:type="paragraph" w:customStyle="1" w:styleId="xmsonormal">
    <w:name w:val="x_msonormal"/>
    <w:basedOn w:val="Normal"/>
    <w:rsid w:val="007F788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ata2.unhcr.org/en/country/tcd" TargetMode="External"/><Relationship Id="rId1" Type="http://schemas.openxmlformats.org/officeDocument/2006/relationships/hyperlink" Target="http://www.unhc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Mouvement de population vers Telemces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Menages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strRef>
              <c:f>Sheet1!$B$2:$H$2</c:f>
              <c:strCache>
                <c:ptCount val="7"/>
                <c:pt idx="0">
                  <c:v>1juin</c:v>
                </c:pt>
                <c:pt idx="1">
                  <c:v>2juin</c:v>
                </c:pt>
                <c:pt idx="2">
                  <c:v>3juin</c:v>
                </c:pt>
                <c:pt idx="3">
                  <c:v>4juin</c:v>
                </c:pt>
                <c:pt idx="4">
                  <c:v>5juin</c:v>
                </c:pt>
                <c:pt idx="5">
                  <c:v>6juin</c:v>
                </c:pt>
                <c:pt idx="6">
                  <c:v>7juin</c:v>
                </c:pt>
              </c:strCache>
            </c:strRef>
          </c:xVal>
          <c:yVal>
            <c:numRef>
              <c:f>Sheet1!$B$3:$H$3</c:f>
              <c:numCache>
                <c:formatCode>General</c:formatCode>
                <c:ptCount val="7"/>
                <c:pt idx="0">
                  <c:v>172</c:v>
                </c:pt>
                <c:pt idx="1">
                  <c:v>363</c:v>
                </c:pt>
                <c:pt idx="2">
                  <c:v>480</c:v>
                </c:pt>
                <c:pt idx="3">
                  <c:v>144</c:v>
                </c:pt>
                <c:pt idx="4">
                  <c:v>17</c:v>
                </c:pt>
                <c:pt idx="5">
                  <c:v>4</c:v>
                </c:pt>
                <c:pt idx="6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25F-4F7B-B9C7-CA404777B14C}"/>
            </c:ext>
          </c:extLst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Individus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strRef>
              <c:f>Sheet1!$B$2:$H$2</c:f>
              <c:strCache>
                <c:ptCount val="7"/>
                <c:pt idx="0">
                  <c:v>1juin</c:v>
                </c:pt>
                <c:pt idx="1">
                  <c:v>2juin</c:v>
                </c:pt>
                <c:pt idx="2">
                  <c:v>3juin</c:v>
                </c:pt>
                <c:pt idx="3">
                  <c:v>4juin</c:v>
                </c:pt>
                <c:pt idx="4">
                  <c:v>5juin</c:v>
                </c:pt>
                <c:pt idx="5">
                  <c:v>6juin</c:v>
                </c:pt>
                <c:pt idx="6">
                  <c:v>7juin</c:v>
                </c:pt>
              </c:strCache>
            </c:strRef>
          </c:xVal>
          <c:yVal>
            <c:numRef>
              <c:f>Sheet1!$B$4:$H$4</c:f>
              <c:numCache>
                <c:formatCode>General</c:formatCode>
                <c:ptCount val="7"/>
                <c:pt idx="0">
                  <c:v>1158</c:v>
                </c:pt>
                <c:pt idx="1">
                  <c:v>2560</c:v>
                </c:pt>
                <c:pt idx="2">
                  <c:v>3477</c:v>
                </c:pt>
                <c:pt idx="3">
                  <c:v>810</c:v>
                </c:pt>
                <c:pt idx="4">
                  <c:v>118</c:v>
                </c:pt>
                <c:pt idx="5">
                  <c:v>44</c:v>
                </c:pt>
                <c:pt idx="6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25F-4F7B-B9C7-CA404777B14C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axId val="551394216"/>
        <c:axId val="551394872"/>
      </c:scatterChart>
      <c:valAx>
        <c:axId val="5513942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Jour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51394872"/>
        <c:crosses val="autoZero"/>
        <c:crossBetween val="midCat"/>
      </c:valAx>
      <c:valAx>
        <c:axId val="551394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Nombre de menages / individus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5139421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4508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Ravaosolonirina</dc:creator>
  <cp:keywords/>
  <dc:description/>
  <cp:lastModifiedBy>Aminta Hassimi</cp:lastModifiedBy>
  <cp:revision>2</cp:revision>
  <dcterms:created xsi:type="dcterms:W3CDTF">2020-06-17T11:56:00Z</dcterms:created>
  <dcterms:modified xsi:type="dcterms:W3CDTF">2020-06-17T11:56:00Z</dcterms:modified>
</cp:coreProperties>
</file>